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0D8" w14:textId="77777777" w:rsidR="00CF6B8C" w:rsidRDefault="00EB66B7">
      <w:pPr>
        <w:pStyle w:val="Title"/>
        <w:spacing w:line="259" w:lineRule="auto"/>
      </w:pPr>
      <w:bookmarkStart w:id="0" w:name="U.S._DEPARTMENT_OF_EDUCATION"/>
      <w:bookmarkEnd w:id="0"/>
      <w:r>
        <w:rPr>
          <w:spacing w:val="-2"/>
        </w:rPr>
        <w:t>U.S.</w:t>
      </w:r>
      <w:r>
        <w:rPr>
          <w:spacing w:val="-5"/>
        </w:rPr>
        <w:t xml:space="preserve"> </w:t>
      </w: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EDUCATION</w:t>
      </w:r>
      <w:r>
        <w:rPr>
          <w:spacing w:val="-67"/>
        </w:rPr>
        <w:t xml:space="preserve"> </w:t>
      </w:r>
      <w:bookmarkStart w:id="1" w:name="Grant_Bulletin"/>
      <w:bookmarkEnd w:id="1"/>
      <w:r>
        <w:t>Grant</w:t>
      </w:r>
      <w:r>
        <w:rPr>
          <w:spacing w:val="-2"/>
        </w:rPr>
        <w:t xml:space="preserve"> </w:t>
      </w:r>
      <w:r>
        <w:t>Bulletin</w:t>
      </w:r>
    </w:p>
    <w:p w14:paraId="4A6B40D9" w14:textId="77777777" w:rsidR="00CF6B8C" w:rsidRDefault="00CF6B8C">
      <w:pPr>
        <w:pStyle w:val="BodyText"/>
        <w:spacing w:before="1"/>
        <w:rPr>
          <w:b/>
          <w:sz w:val="19"/>
        </w:rPr>
      </w:pPr>
    </w:p>
    <w:p w14:paraId="4A6B40DA" w14:textId="77777777" w:rsidR="00CF6B8C" w:rsidRDefault="00EB66B7">
      <w:pPr>
        <w:pStyle w:val="BodyText"/>
        <w:spacing w:before="89"/>
        <w:ind w:left="140"/>
      </w:pPr>
      <w:r>
        <w:t>GB</w:t>
      </w:r>
      <w:r>
        <w:rPr>
          <w:spacing w:val="-1"/>
        </w:rPr>
        <w:t xml:space="preserve"> </w:t>
      </w:r>
      <w:r>
        <w:t>21-01</w:t>
      </w:r>
    </w:p>
    <w:p w14:paraId="4A6B40DB" w14:textId="77777777" w:rsidR="00CF6B8C" w:rsidRDefault="00CF6B8C">
      <w:pPr>
        <w:pStyle w:val="BodyText"/>
      </w:pPr>
    </w:p>
    <w:p w14:paraId="4A6B40DC" w14:textId="77777777" w:rsidR="00CF6B8C" w:rsidRDefault="00EB66B7">
      <w:pPr>
        <w:pStyle w:val="BodyText"/>
        <w:spacing w:before="1"/>
        <w:ind w:left="14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6B415A" wp14:editId="4A6B415B">
            <wp:simplePos x="0" y="0"/>
            <wp:positionH relativeFrom="page">
              <wp:posOffset>3078911</wp:posOffset>
            </wp:positionH>
            <wp:positionV relativeFrom="paragraph">
              <wp:posOffset>122651</wp:posOffset>
            </wp:positionV>
            <wp:extent cx="1253109" cy="4242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109" cy="42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  <w:r>
        <w:rPr>
          <w:spacing w:val="58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13, 2021</w:t>
      </w:r>
    </w:p>
    <w:p w14:paraId="4A6B40DD" w14:textId="77777777" w:rsidR="00CF6B8C" w:rsidRDefault="00CF6B8C">
      <w:pPr>
        <w:pStyle w:val="BodyText"/>
        <w:spacing w:before="11"/>
        <w:rPr>
          <w:sz w:val="23"/>
        </w:rPr>
      </w:pPr>
    </w:p>
    <w:p w14:paraId="4A6B40DE" w14:textId="77777777" w:rsidR="00CF6B8C" w:rsidRDefault="00EB66B7">
      <w:pPr>
        <w:pStyle w:val="BodyText"/>
        <w:ind w:left="140"/>
      </w:pPr>
      <w:r>
        <w:t>APPROVED:</w:t>
      </w:r>
      <w:r>
        <w:rPr>
          <w:spacing w:val="56"/>
        </w:rPr>
        <w:t xml:space="preserve"> </w:t>
      </w:r>
      <w:r>
        <w:t>Phillip</w:t>
      </w:r>
      <w:r>
        <w:rPr>
          <w:spacing w:val="-1"/>
        </w:rPr>
        <w:t xml:space="preserve"> </w:t>
      </w:r>
      <w:r>
        <w:t>Juengst</w:t>
      </w:r>
    </w:p>
    <w:p w14:paraId="4A6B40DF" w14:textId="77777777" w:rsidR="00CF6B8C" w:rsidRDefault="00EB66B7">
      <w:pPr>
        <w:pStyle w:val="BodyText"/>
        <w:ind w:left="1565" w:right="1292"/>
        <w:jc w:val="center"/>
      </w:pPr>
      <w:r>
        <w:t>Deputy</w:t>
      </w:r>
      <w:r>
        <w:rPr>
          <w:spacing w:val="-2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Administration</w:t>
      </w:r>
    </w:p>
    <w:p w14:paraId="4A6B40E0" w14:textId="19601EBE" w:rsidR="00CF6B8C" w:rsidRDefault="00EB66B7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6B415C" wp14:editId="74847A98">
                <wp:simplePos x="0" y="0"/>
                <wp:positionH relativeFrom="page">
                  <wp:posOffset>895985</wp:posOffset>
                </wp:positionH>
                <wp:positionV relativeFrom="paragraph">
                  <wp:posOffset>186690</wp:posOffset>
                </wp:positionV>
                <wp:extent cx="598043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0055" id="Rectangle 4" o:spid="_x0000_s1026" style="position:absolute;margin-left:70.55pt;margin-top:14.7pt;width:470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A6B40E1" w14:textId="77777777" w:rsidR="00CF6B8C" w:rsidRDefault="00CF6B8C">
      <w:pPr>
        <w:pStyle w:val="BodyText"/>
        <w:rPr>
          <w:sz w:val="20"/>
        </w:rPr>
      </w:pPr>
    </w:p>
    <w:p w14:paraId="4A6B40E2" w14:textId="77777777" w:rsidR="00CF6B8C" w:rsidRDefault="00CF6B8C">
      <w:pPr>
        <w:pStyle w:val="BodyText"/>
        <w:spacing w:before="9"/>
        <w:rPr>
          <w:sz w:val="17"/>
        </w:rPr>
      </w:pPr>
    </w:p>
    <w:p w14:paraId="4A6B40E3" w14:textId="77777777" w:rsidR="00CF6B8C" w:rsidRDefault="00EB66B7">
      <w:pPr>
        <w:pStyle w:val="Heading1"/>
        <w:spacing w:before="90"/>
      </w:pPr>
      <w:bookmarkStart w:id="2" w:name="Title"/>
      <w:bookmarkEnd w:id="2"/>
      <w:r>
        <w:t>Title</w:t>
      </w:r>
    </w:p>
    <w:p w14:paraId="4A6B40E4" w14:textId="77777777" w:rsidR="00CF6B8C" w:rsidRDefault="00EB66B7">
      <w:pPr>
        <w:pStyle w:val="BodyText"/>
        <w:spacing w:before="230"/>
        <w:ind w:left="140" w:right="388"/>
      </w:pPr>
      <w:bookmarkStart w:id="3" w:name="Implementation_of_the_120-Calendar_Day_L"/>
      <w:bookmarkEnd w:id="3"/>
      <w:r>
        <w:t xml:space="preserve">Implementation of the 120-Calendar Day Liquidation Period Codified in </w:t>
      </w:r>
      <w:hyperlink r:id="rId13">
        <w:r>
          <w:rPr>
            <w:color w:val="0562C1"/>
            <w:u w:val="single" w:color="0562C1"/>
          </w:rPr>
          <w:t>2 CFR § 200.344</w:t>
        </w:r>
        <w:r>
          <w:rPr>
            <w:color w:val="0562C1"/>
          </w:rPr>
          <w:t xml:space="preserve"> </w:t>
        </w:r>
      </w:hyperlink>
      <w:r>
        <w:t>and</w:t>
      </w:r>
      <w:r>
        <w:rPr>
          <w:spacing w:val="-57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12, 2020.</w:t>
      </w:r>
    </w:p>
    <w:p w14:paraId="4A6B40E5" w14:textId="77777777" w:rsidR="00CF6B8C" w:rsidRDefault="00CF6B8C">
      <w:pPr>
        <w:pStyle w:val="BodyText"/>
      </w:pPr>
    </w:p>
    <w:p w14:paraId="4A6B40E6" w14:textId="77777777" w:rsidR="00CF6B8C" w:rsidRDefault="00EB66B7">
      <w:pPr>
        <w:pStyle w:val="Heading1"/>
      </w:pPr>
      <w:bookmarkStart w:id="4" w:name="Purpose"/>
      <w:bookmarkEnd w:id="4"/>
      <w:r>
        <w:t>Purpose</w:t>
      </w:r>
    </w:p>
    <w:p w14:paraId="4A6B40E7" w14:textId="77777777" w:rsidR="00CF6B8C" w:rsidRDefault="00CF6B8C">
      <w:pPr>
        <w:pStyle w:val="BodyText"/>
        <w:rPr>
          <w:b/>
        </w:rPr>
      </w:pPr>
    </w:p>
    <w:p w14:paraId="4A6B40E8" w14:textId="77777777" w:rsidR="00CF6B8C" w:rsidRDefault="00EB66B7">
      <w:pPr>
        <w:ind w:left="140" w:right="226"/>
        <w:rPr>
          <w:sz w:val="24"/>
        </w:rPr>
      </w:pPr>
      <w:r>
        <w:rPr>
          <w:sz w:val="24"/>
        </w:rPr>
        <w:t xml:space="preserve">This bulletin implements a revision codified in </w:t>
      </w:r>
      <w:hyperlink r:id="rId14">
        <w:r>
          <w:rPr>
            <w:color w:val="0562C1"/>
            <w:sz w:val="24"/>
            <w:u w:val="single" w:color="0562C1"/>
          </w:rPr>
          <w:t>2 CFR § 200.344</w:t>
        </w:r>
      </w:hyperlink>
      <w:r>
        <w:rPr>
          <w:color w:val="0562C1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i/>
          <w:sz w:val="24"/>
        </w:rPr>
        <w:t>Uniform Administrative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</w:t>
      </w:r>
      <w:r>
        <w:rPr>
          <w:i/>
          <w:sz w:val="24"/>
        </w:rPr>
        <w:t xml:space="preserve">s, Cost Principles, and Audit Requirements for Federal Awards </w:t>
      </w:r>
      <w:r>
        <w:rPr>
          <w:sz w:val="24"/>
        </w:rPr>
        <w:t>(the Uniform</w:t>
      </w:r>
      <w:r>
        <w:rPr>
          <w:spacing w:val="1"/>
          <w:sz w:val="24"/>
        </w:rPr>
        <w:t xml:space="preserve"> </w:t>
      </w:r>
      <w:r>
        <w:rPr>
          <w:sz w:val="24"/>
        </w:rPr>
        <w:t>Guidance) that extends the grant closeout liquidation period, i.e., the period 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1"/>
          <w:sz w:val="24"/>
        </w:rPr>
        <w:t xml:space="preserve"> </w:t>
      </w:r>
      <w:r>
        <w:rPr>
          <w:sz w:val="24"/>
        </w:rPr>
        <w:t>from 90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120 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 active</w:t>
      </w:r>
      <w:r>
        <w:rPr>
          <w:spacing w:val="-1"/>
          <w:sz w:val="24"/>
        </w:rPr>
        <w:t xml:space="preserve"> </w:t>
      </w:r>
      <w:r>
        <w:rPr>
          <w:sz w:val="24"/>
        </w:rPr>
        <w:t>grants.</w:t>
      </w:r>
    </w:p>
    <w:p w14:paraId="4A6B40E9" w14:textId="77777777" w:rsidR="00CF6B8C" w:rsidRDefault="00CF6B8C">
      <w:pPr>
        <w:pStyle w:val="BodyText"/>
      </w:pPr>
    </w:p>
    <w:p w14:paraId="4A6B40EA" w14:textId="77777777" w:rsidR="00CF6B8C" w:rsidRDefault="00EB66B7">
      <w:pPr>
        <w:pStyle w:val="Heading1"/>
      </w:pPr>
      <w:bookmarkStart w:id="5" w:name="Background"/>
      <w:bookmarkEnd w:id="5"/>
      <w:r>
        <w:t>Background</w:t>
      </w:r>
    </w:p>
    <w:p w14:paraId="4A6B40EB" w14:textId="77777777" w:rsidR="00CF6B8C" w:rsidRDefault="00CF6B8C">
      <w:pPr>
        <w:pStyle w:val="BodyText"/>
        <w:rPr>
          <w:b/>
        </w:rPr>
      </w:pPr>
    </w:p>
    <w:p w14:paraId="4A6B40EC" w14:textId="77777777" w:rsidR="00CF6B8C" w:rsidRDefault="00EB66B7">
      <w:pPr>
        <w:pStyle w:val="BodyText"/>
        <w:spacing w:before="1"/>
        <w:ind w:left="139" w:right="167"/>
      </w:pPr>
      <w:r>
        <w:t>On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2020,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hyperlink r:id="rId15">
        <w:r>
          <w:rPr>
            <w:color w:val="0562C1"/>
            <w:u w:val="single" w:color="0562C1"/>
          </w:rPr>
          <w:t>Guidance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for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Grants</w:t>
        </w:r>
        <w:r>
          <w:rPr>
            <w:color w:val="0562C1"/>
            <w:spacing w:val="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Grants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Agreements</w:t>
        </w:r>
      </w:hyperlink>
      <w:hyperlink w:anchor="_bookmark0" w:history="1">
        <w:r>
          <w:rPr>
            <w:color w:val="0562C1"/>
            <w:u w:val="single" w:color="0562C1"/>
            <w:vertAlign w:val="superscript"/>
          </w:rPr>
          <w:t>1</w:t>
        </w:r>
        <w:r>
          <w:rPr>
            <w:color w:val="0562C1"/>
            <w:spacing w:val="4"/>
          </w:rPr>
          <w:t xml:space="preserve"> </w:t>
        </w:r>
      </w:hyperlink>
      <w:r>
        <w:t>Federal</w:t>
      </w:r>
      <w:r>
        <w:rPr>
          <w:spacing w:val="2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 xml:space="preserve">Notice, the Office of Management and Budget (OMB) </w:t>
      </w:r>
      <w:r>
        <w:t xml:space="preserve">revised </w:t>
      </w:r>
      <w:hyperlink r:id="rId16">
        <w:r>
          <w:rPr>
            <w:color w:val="0562C1"/>
            <w:u w:val="single" w:color="0562C1"/>
          </w:rPr>
          <w:t>2 CFR § 200.344</w:t>
        </w:r>
        <w:r>
          <w:rPr>
            <w:color w:val="0562C1"/>
          </w:rPr>
          <w:t xml:space="preserve"> </w:t>
        </w:r>
      </w:hyperlink>
      <w:r>
        <w:t>of the Uniform</w:t>
      </w:r>
      <w:r>
        <w:rPr>
          <w:spacing w:val="1"/>
        </w:rPr>
        <w:t xml:space="preserve"> </w:t>
      </w:r>
      <w:r>
        <w:t>Guidance based on lessons learned from years of implementing the Uniform Guidance, and</w:t>
      </w:r>
      <w:r>
        <w:t xml:space="preserve"> from</w:t>
      </w:r>
      <w:r>
        <w:rPr>
          <w:spacing w:val="-57"/>
        </w:rPr>
        <w:t xml:space="preserve"> </w:t>
      </w:r>
      <w:r>
        <w:t>the implementation of the Grants Oversight and New Efficiency Act (GONE Act).</w:t>
      </w:r>
      <w:r>
        <w:rPr>
          <w:spacing w:val="1"/>
        </w:rPr>
        <w:t xml:space="preserve"> </w:t>
      </w:r>
      <w:r>
        <w:t>The purpose</w:t>
      </w:r>
      <w:r>
        <w:rPr>
          <w:spacing w:val="1"/>
        </w:rPr>
        <w:t xml:space="preserve"> </w:t>
      </w:r>
      <w:r>
        <w:t xml:space="preserve">for revising </w:t>
      </w:r>
      <w:hyperlink r:id="rId17">
        <w:r>
          <w:rPr>
            <w:color w:val="0562C1"/>
            <w:u w:val="single" w:color="0562C1"/>
          </w:rPr>
          <w:t>2 CFR § 200.344</w:t>
        </w:r>
        <w:r>
          <w:rPr>
            <w:color w:val="0562C1"/>
          </w:rPr>
          <w:t xml:space="preserve"> </w:t>
        </w:r>
      </w:hyperlink>
      <w:r>
        <w:t>is to support the timely closeout of awards, improve the accuracy</w:t>
      </w:r>
      <w:r>
        <w:rPr>
          <w:spacing w:val="1"/>
        </w:rPr>
        <w:t xml:space="preserve"> </w:t>
      </w:r>
      <w:r>
        <w:t>of final closeout reporting, and reduce recipient burden. The revision increases the number of</w:t>
      </w:r>
      <w:r>
        <w:rPr>
          <w:spacing w:val="1"/>
        </w:rPr>
        <w:t xml:space="preserve"> </w:t>
      </w:r>
      <w:r>
        <w:t xml:space="preserve">days for grantees to submit all final reports and liquidate all financial obligations from 90 </w:t>
      </w:r>
      <w:r>
        <w:t>days to</w:t>
      </w:r>
      <w:r>
        <w:rPr>
          <w:spacing w:val="-58"/>
        </w:rPr>
        <w:t xml:space="preserve"> </w:t>
      </w:r>
      <w:r>
        <w:t>120 days, and it was effective November 12, 2020.</w:t>
      </w:r>
      <w:r>
        <w:rPr>
          <w:spacing w:val="1"/>
        </w:rPr>
        <w:t xml:space="preserve"> </w:t>
      </w:r>
      <w:r>
        <w:t>In consultation with the Office of General</w:t>
      </w:r>
      <w:r>
        <w:rPr>
          <w:spacing w:val="1"/>
        </w:rPr>
        <w:t xml:space="preserve"> </w:t>
      </w:r>
      <w:r>
        <w:t>Counsel and OMB, the Department of Education implemented the change for all active grants,</w:t>
      </w:r>
      <w:r>
        <w:rPr>
          <w:spacing w:val="1"/>
        </w:rPr>
        <w:t xml:space="preserve"> </w:t>
      </w:r>
      <w:r>
        <w:t>including those awarded prior to November 12, 2020.</w:t>
      </w:r>
      <w:r>
        <w:rPr>
          <w:spacing w:val="1"/>
        </w:rPr>
        <w:t xml:space="preserve"> </w:t>
      </w:r>
      <w:r>
        <w:t>For detailed</w:t>
      </w:r>
      <w:r>
        <w:t xml:space="preserve"> explanation of these changes</w:t>
      </w:r>
      <w:r>
        <w:rPr>
          <w:spacing w:val="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1.</w:t>
      </w:r>
    </w:p>
    <w:p w14:paraId="4A6B40ED" w14:textId="77777777" w:rsidR="00CF6B8C" w:rsidRDefault="00CF6B8C">
      <w:pPr>
        <w:pStyle w:val="BodyText"/>
        <w:rPr>
          <w:sz w:val="20"/>
        </w:rPr>
      </w:pPr>
    </w:p>
    <w:p w14:paraId="4A6B40EE" w14:textId="454FD59E" w:rsidR="00CF6B8C" w:rsidRDefault="00EB66B7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6B415D" wp14:editId="3E4DAF6E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9B2E" id="Rectangle 3" o:spid="_x0000_s1026" style="position:absolute;margin-left:1in;margin-top:14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Nj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77izIqRWvSZ&#10;TBO2N4q9jv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A6B40EF" w14:textId="77777777" w:rsidR="00CF6B8C" w:rsidRDefault="00EB66B7">
      <w:pPr>
        <w:spacing w:before="90" w:line="261" w:lineRule="auto"/>
        <w:ind w:left="140" w:right="155" w:hanging="1"/>
        <w:rPr>
          <w:sz w:val="20"/>
        </w:rPr>
      </w:pPr>
      <w:bookmarkStart w:id="6" w:name="_bookmark0"/>
      <w:bookmarkEnd w:id="6"/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</w:t>
      </w:r>
      <w:r>
        <w:rPr>
          <w:sz w:val="20"/>
        </w:rPr>
        <w:t>On February 22, 2021, OMB published an amendment in the Federal Register notice correcting this final guidance,</w:t>
      </w:r>
      <w:r>
        <w:rPr>
          <w:spacing w:val="-47"/>
          <w:sz w:val="20"/>
        </w:rPr>
        <w:t xml:space="preserve"> </w:t>
      </w:r>
      <w:r>
        <w:rPr>
          <w:sz w:val="20"/>
        </w:rPr>
        <w:t>which incorrectly cited sections or laws and inadvertently omitted specific language from the re</w:t>
      </w:r>
      <w:r>
        <w:rPr>
          <w:sz w:val="20"/>
        </w:rPr>
        <w:t>visions. The</w:t>
      </w:r>
      <w:r>
        <w:rPr>
          <w:spacing w:val="1"/>
          <w:sz w:val="20"/>
        </w:rPr>
        <w:t xml:space="preserve"> </w:t>
      </w:r>
      <w:r>
        <w:rPr>
          <w:sz w:val="20"/>
        </w:rPr>
        <w:t>February 22, 2021 amendment fixes citations and references and clarifies specific language, and is available at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following link: </w:t>
      </w:r>
      <w:hyperlink r:id="rId18">
        <w:r>
          <w:rPr>
            <w:color w:val="0562C1"/>
            <w:sz w:val="20"/>
            <w:u w:val="single" w:color="0562C1"/>
          </w:rPr>
          <w:t>Correcting</w:t>
        </w:r>
        <w:r>
          <w:rPr>
            <w:color w:val="0562C1"/>
            <w:spacing w:val="1"/>
            <w:sz w:val="20"/>
            <w:u w:val="single" w:color="0562C1"/>
          </w:rPr>
          <w:t xml:space="preserve"> </w:t>
        </w:r>
        <w:r>
          <w:rPr>
            <w:color w:val="0562C1"/>
            <w:sz w:val="20"/>
            <w:u w:val="single" w:color="0562C1"/>
          </w:rPr>
          <w:t>Amendment</w:t>
        </w:r>
        <w:r>
          <w:rPr>
            <w:sz w:val="20"/>
          </w:rPr>
          <w:t>.</w:t>
        </w:r>
      </w:hyperlink>
    </w:p>
    <w:p w14:paraId="4A6B40F0" w14:textId="77777777" w:rsidR="00CF6B8C" w:rsidRDefault="00CF6B8C">
      <w:pPr>
        <w:spacing w:line="261" w:lineRule="auto"/>
        <w:rPr>
          <w:sz w:val="20"/>
        </w:rPr>
        <w:sectPr w:rsidR="00CF6B8C">
          <w:footerReference w:type="default" r:id="rId19"/>
          <w:type w:val="continuous"/>
          <w:pgSz w:w="12240" w:h="15840"/>
          <w:pgMar w:top="1500" w:right="1300" w:bottom="1200" w:left="1300" w:header="720" w:footer="1014" w:gutter="0"/>
          <w:pgNumType w:start="1"/>
          <w:cols w:space="720"/>
        </w:sectPr>
      </w:pPr>
    </w:p>
    <w:p w14:paraId="4A6B40F1" w14:textId="77777777" w:rsidR="00CF6B8C" w:rsidRDefault="00EB66B7">
      <w:pPr>
        <w:pStyle w:val="BodyText"/>
        <w:spacing w:before="79"/>
        <w:ind w:left="139" w:right="217"/>
      </w:pPr>
      <w:r>
        <w:rPr>
          <w:color w:val="333333"/>
        </w:rPr>
        <w:lastRenderedPageBreak/>
        <w:t>Recognizing the need for grantees to receive timely reports from their subrecipients so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grantees may submit their final reports to Federal awarding agencies within 120 calendar days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after their period of performance, OMB did not revise the closeout li</w:t>
      </w:r>
      <w:r>
        <w:rPr>
          <w:color w:val="333333"/>
        </w:rPr>
        <w:t>quidation period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subrecipients.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requirement for subrecipients to submit their final reports to grantees within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90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calendar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days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subrecipients’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periods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performance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remains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place.</w:t>
      </w:r>
    </w:p>
    <w:p w14:paraId="4A6B40F2" w14:textId="77777777" w:rsidR="00CF6B8C" w:rsidRDefault="00CF6B8C">
      <w:pPr>
        <w:pStyle w:val="BodyText"/>
      </w:pPr>
    </w:p>
    <w:p w14:paraId="4A6B40F3" w14:textId="77777777" w:rsidR="00CF6B8C" w:rsidRDefault="00EB66B7">
      <w:pPr>
        <w:pStyle w:val="Heading1"/>
        <w:ind w:left="139"/>
      </w:pPr>
      <w:r>
        <w:t>Policy</w:t>
      </w:r>
    </w:p>
    <w:p w14:paraId="4A6B40F4" w14:textId="77777777" w:rsidR="00CF6B8C" w:rsidRDefault="00CF6B8C">
      <w:pPr>
        <w:pStyle w:val="BodyText"/>
        <w:rPr>
          <w:b/>
        </w:rPr>
      </w:pPr>
    </w:p>
    <w:p w14:paraId="4A6B40F5" w14:textId="77777777" w:rsidR="00CF6B8C" w:rsidRDefault="00EB66B7">
      <w:pPr>
        <w:pStyle w:val="BodyText"/>
        <w:ind w:left="139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hyperlink r:id="rId20">
        <w:r>
          <w:rPr>
            <w:color w:val="0562C1"/>
            <w:u w:val="single" w:color="0562C1"/>
          </w:rPr>
          <w:t>2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CFR §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200.344</w:t>
        </w:r>
      </w:hyperlink>
      <w:r>
        <w:t>:</w:t>
      </w:r>
    </w:p>
    <w:p w14:paraId="4A6B40F6" w14:textId="77777777" w:rsidR="00CF6B8C" w:rsidRDefault="00CF6B8C">
      <w:pPr>
        <w:pStyle w:val="BodyText"/>
        <w:spacing w:before="2"/>
        <w:rPr>
          <w:sz w:val="16"/>
        </w:rPr>
      </w:pPr>
    </w:p>
    <w:p w14:paraId="4A6B40F7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90"/>
        <w:ind w:right="161"/>
        <w:rPr>
          <w:sz w:val="24"/>
        </w:rPr>
      </w:pPr>
      <w:r>
        <w:rPr>
          <w:sz w:val="24"/>
        </w:rPr>
        <w:t>Grantees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submit, 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120 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 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 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performance, all financial, performance, and other reports as required by the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14:paraId="4A6B40F8" w14:textId="77777777" w:rsidR="00CF6B8C" w:rsidRDefault="00CF6B8C">
      <w:pPr>
        <w:pStyle w:val="BodyText"/>
      </w:pPr>
    </w:p>
    <w:p w14:paraId="4A6B40F9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95"/>
        <w:rPr>
          <w:sz w:val="24"/>
        </w:rPr>
      </w:pPr>
      <w:r>
        <w:rPr>
          <w:sz w:val="24"/>
        </w:rPr>
        <w:t>Subrecipients must submit to the grantee, no later than 90 calendar days (or an earlier</w:t>
      </w:r>
      <w:r>
        <w:rPr>
          <w:spacing w:val="1"/>
          <w:sz w:val="24"/>
        </w:rPr>
        <w:t xml:space="preserve"> </w:t>
      </w:r>
      <w:r>
        <w:rPr>
          <w:sz w:val="24"/>
        </w:rPr>
        <w:t>date as agreed upon by the grantee and its subrecipien</w:t>
      </w:r>
      <w:r>
        <w:rPr>
          <w:sz w:val="24"/>
        </w:rPr>
        <w:t>ts) after the end date of the period</w:t>
      </w:r>
      <w:r>
        <w:rPr>
          <w:spacing w:val="1"/>
          <w:sz w:val="24"/>
        </w:rPr>
        <w:t xml:space="preserve"> </w:t>
      </w:r>
      <w:r>
        <w:rPr>
          <w:sz w:val="24"/>
        </w:rPr>
        <w:t>of performance, all financial, performance, and other reports as required by the terms and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award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subaward.</w:t>
      </w:r>
    </w:p>
    <w:p w14:paraId="4A6B40FA" w14:textId="77777777" w:rsidR="00CF6B8C" w:rsidRDefault="00CF6B8C">
      <w:pPr>
        <w:pStyle w:val="BodyText"/>
        <w:spacing w:before="10"/>
        <w:rPr>
          <w:sz w:val="25"/>
        </w:rPr>
      </w:pPr>
    </w:p>
    <w:p w14:paraId="4A6B40FB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362"/>
        <w:rPr>
          <w:sz w:val="24"/>
        </w:rPr>
      </w:pPr>
      <w:r>
        <w:rPr>
          <w:sz w:val="24"/>
        </w:rPr>
        <w:t>The Department of Education (the Department), and its grantees with respect to th</w:t>
      </w:r>
      <w:r>
        <w:rPr>
          <w:sz w:val="24"/>
        </w:rPr>
        <w:t>eir</w:t>
      </w:r>
      <w:r>
        <w:rPr>
          <w:spacing w:val="1"/>
          <w:sz w:val="24"/>
        </w:rPr>
        <w:t xml:space="preserve"> </w:t>
      </w:r>
      <w:r>
        <w:rPr>
          <w:sz w:val="24"/>
        </w:rPr>
        <w:t>subrecipients,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extensions</w:t>
      </w:r>
      <w:r>
        <w:rPr>
          <w:spacing w:val="-1"/>
          <w:sz w:val="24"/>
        </w:rPr>
        <w:t xml:space="preserve"> </w:t>
      </w:r>
      <w:r>
        <w:rPr>
          <w:sz w:val="24"/>
        </w:rPr>
        <w:t>when requested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justified.</w:t>
      </w:r>
      <w:r>
        <w:rPr>
          <w:spacing w:val="57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 that apply to State-administered programs set out in ACS Directive 2-110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1" w:anchor="search%3Dlate%20liquidation">
        <w:r>
          <w:rPr>
            <w:color w:val="0562C1"/>
            <w:sz w:val="24"/>
            <w:u w:val="single" w:color="0562C1"/>
          </w:rPr>
          <w:t>Departmental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Records</w:t>
        </w:r>
        <w:r>
          <w:rPr>
            <w:color w:val="0562C1"/>
            <w:spacing w:val="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 xml:space="preserve">and </w:t>
        </w:r>
        <w:r>
          <w:rPr>
            <w:color w:val="0562C1"/>
            <w:sz w:val="24"/>
            <w:u w:val="single" w:color="0562C1"/>
          </w:rPr>
          <w:t>Information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Management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Program (ed.gov)</w:t>
        </w:r>
      </w:hyperlink>
      <w:r>
        <w:rPr>
          <w:sz w:val="24"/>
        </w:rPr>
        <w:t>).</w:t>
      </w:r>
    </w:p>
    <w:p w14:paraId="4A6B40FC" w14:textId="77777777" w:rsidR="00CF6B8C" w:rsidRDefault="00CF6B8C">
      <w:pPr>
        <w:pStyle w:val="BodyText"/>
        <w:spacing w:before="1"/>
        <w:rPr>
          <w:sz w:val="18"/>
        </w:rPr>
      </w:pPr>
    </w:p>
    <w:p w14:paraId="4A6B40FD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90"/>
        <w:ind w:right="320"/>
        <w:rPr>
          <w:sz w:val="24"/>
        </w:rPr>
      </w:pPr>
      <w:r>
        <w:rPr>
          <w:sz w:val="24"/>
        </w:rPr>
        <w:t>Unless the Department, or its grantees with respect to their subrecipients, authorize an</w:t>
      </w:r>
      <w:r>
        <w:rPr>
          <w:spacing w:val="1"/>
          <w:sz w:val="24"/>
        </w:rPr>
        <w:t xml:space="preserve"> </w:t>
      </w:r>
      <w:r>
        <w:rPr>
          <w:sz w:val="24"/>
        </w:rPr>
        <w:t>extension, grantees and subrecipients must liquidate all financial obligations incurred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 grant or subaward no later</w:t>
      </w:r>
      <w:r>
        <w:rPr>
          <w:sz w:val="24"/>
        </w:rPr>
        <w:t xml:space="preserve"> than 120 calendar days after the end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subaward.</w:t>
      </w:r>
    </w:p>
    <w:p w14:paraId="4A6B40FE" w14:textId="77777777" w:rsidR="00CF6B8C" w:rsidRDefault="00CF6B8C">
      <w:pPr>
        <w:pStyle w:val="BodyText"/>
        <w:spacing w:before="10"/>
        <w:rPr>
          <w:sz w:val="25"/>
        </w:rPr>
      </w:pPr>
    </w:p>
    <w:p w14:paraId="4A6B40FF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34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subrecipient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promptly</w:t>
      </w:r>
      <w:r>
        <w:rPr>
          <w:spacing w:val="-1"/>
          <w:sz w:val="24"/>
        </w:rPr>
        <w:t xml:space="preserve"> </w:t>
      </w:r>
      <w:r>
        <w:rPr>
          <w:sz w:val="24"/>
        </w:rPr>
        <w:t>refund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balances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unobligated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 Department, or grantees with respect to subrecipients, paid in advance or paid and</w:t>
      </w:r>
      <w:r>
        <w:rPr>
          <w:spacing w:val="1"/>
          <w:sz w:val="24"/>
        </w:rPr>
        <w:t xml:space="preserve"> </w:t>
      </w:r>
      <w:r>
        <w:rPr>
          <w:sz w:val="24"/>
        </w:rPr>
        <w:t>that are not authorized to be retained by the grantee or subrecipient for use in other</w:t>
      </w:r>
      <w:r>
        <w:rPr>
          <w:spacing w:val="1"/>
          <w:sz w:val="24"/>
        </w:rPr>
        <w:t xml:space="preserve"> </w:t>
      </w:r>
      <w:r>
        <w:rPr>
          <w:sz w:val="24"/>
        </w:rPr>
        <w:t>projects. See</w:t>
      </w:r>
      <w:r>
        <w:rPr>
          <w:color w:val="0562C1"/>
          <w:sz w:val="24"/>
        </w:rPr>
        <w:t xml:space="preserve"> </w:t>
      </w:r>
      <w:hyperlink r:id="rId22">
        <w:r>
          <w:rPr>
            <w:color w:val="0562C1"/>
            <w:sz w:val="24"/>
            <w:u w:val="single" w:color="0562C1"/>
          </w:rPr>
          <w:t>2 CFR § 200.346</w:t>
        </w:r>
      </w:hyperlink>
      <w:r>
        <w:rPr>
          <w:sz w:val="24"/>
        </w:rPr>
        <w:t>,</w:t>
      </w:r>
      <w:r>
        <w:rPr>
          <w:color w:val="0562C1"/>
          <w:sz w:val="24"/>
        </w:rPr>
        <w:t xml:space="preserve"> </w:t>
      </w:r>
      <w:hyperlink r:id="rId23">
        <w:r>
          <w:rPr>
            <w:color w:val="0562C1"/>
            <w:sz w:val="24"/>
            <w:u w:val="single" w:color="0562C1"/>
          </w:rPr>
          <w:t>Part D of the General Education Provisions Act</w:t>
        </w:r>
        <w:r>
          <w:rPr>
            <w:sz w:val="24"/>
          </w:rPr>
          <w:t>,</w:t>
        </w:r>
      </w:hyperlink>
      <w:r>
        <w:rPr>
          <w:sz w:val="24"/>
        </w:rPr>
        <w:t xml:space="preserve"> and</w:t>
      </w:r>
      <w:r>
        <w:rPr>
          <w:color w:val="0562C1"/>
          <w:sz w:val="24"/>
        </w:rPr>
        <w:t xml:space="preserve"> </w:t>
      </w:r>
      <w:hyperlink r:id="rId24">
        <w:r>
          <w:rPr>
            <w:color w:val="0562C1"/>
            <w:sz w:val="24"/>
            <w:u w:val="single" w:color="0562C1"/>
          </w:rPr>
          <w:t>34</w:t>
        </w:r>
      </w:hyperlink>
      <w:r>
        <w:rPr>
          <w:color w:val="0562C1"/>
          <w:spacing w:val="-57"/>
          <w:sz w:val="24"/>
        </w:rPr>
        <w:t xml:space="preserve"> </w:t>
      </w:r>
      <w:hyperlink r:id="rId25">
        <w:r>
          <w:rPr>
            <w:color w:val="0562C1"/>
            <w:sz w:val="24"/>
            <w:u w:val="single" w:color="0562C1"/>
          </w:rPr>
          <w:t>CFR part 81</w:t>
        </w:r>
        <w:r>
          <w:rPr>
            <w:sz w:val="24"/>
          </w:rPr>
          <w:t>,</w:t>
        </w:r>
      </w:hyperlink>
      <w:r>
        <w:rPr>
          <w:sz w:val="24"/>
        </w:rPr>
        <w:t xml:space="preserve"> for requirements regarding un</w:t>
      </w:r>
      <w:r>
        <w:rPr>
          <w:sz w:val="24"/>
        </w:rPr>
        <w:t>returned amounts that become delinquent</w:t>
      </w:r>
      <w:r>
        <w:rPr>
          <w:spacing w:val="1"/>
          <w:sz w:val="24"/>
        </w:rPr>
        <w:t xml:space="preserve"> </w:t>
      </w:r>
      <w:r>
        <w:rPr>
          <w:sz w:val="24"/>
        </w:rPr>
        <w:t>debts.</w:t>
      </w:r>
    </w:p>
    <w:p w14:paraId="4A6B4100" w14:textId="77777777" w:rsidR="00CF6B8C" w:rsidRDefault="00CF6B8C">
      <w:pPr>
        <w:pStyle w:val="BodyText"/>
        <w:spacing w:before="10"/>
        <w:rPr>
          <w:sz w:val="25"/>
        </w:rPr>
      </w:pPr>
    </w:p>
    <w:p w14:paraId="4A6B4101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right="227"/>
        <w:rPr>
          <w:sz w:val="24"/>
        </w:rPr>
      </w:pPr>
      <w:r>
        <w:rPr>
          <w:sz w:val="24"/>
        </w:rPr>
        <w:t>The Department will complete closeout actions no later than one year after the end of the</w:t>
      </w:r>
      <w:r>
        <w:rPr>
          <w:spacing w:val="-58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 authorizing</w:t>
      </w:r>
      <w:r>
        <w:rPr>
          <w:spacing w:val="-1"/>
          <w:sz w:val="24"/>
        </w:rPr>
        <w:t xml:space="preserve"> </w:t>
      </w:r>
      <w:r>
        <w:rPr>
          <w:sz w:val="24"/>
        </w:rPr>
        <w:t>statutes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14:paraId="4A6B4102" w14:textId="77777777" w:rsidR="00CF6B8C" w:rsidRDefault="00CF6B8C">
      <w:pPr>
        <w:pStyle w:val="BodyText"/>
        <w:spacing w:before="10"/>
        <w:rPr>
          <w:sz w:val="25"/>
        </w:rPr>
      </w:pPr>
    </w:p>
    <w:p w14:paraId="4A6B4103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If grantees do not submit all reports in accordance with</w:t>
      </w:r>
      <w:r>
        <w:rPr>
          <w:color w:val="0562C1"/>
          <w:sz w:val="24"/>
        </w:rPr>
        <w:t xml:space="preserve"> </w:t>
      </w:r>
      <w:hyperlink r:id="rId26">
        <w:r>
          <w:rPr>
            <w:color w:val="0562C1"/>
            <w:sz w:val="24"/>
            <w:u w:val="single" w:color="0562C1"/>
          </w:rPr>
          <w:t>2 CFR § 200.344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and the 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</w:t>
      </w:r>
      <w:r>
        <w:rPr>
          <w:sz w:val="24"/>
        </w:rPr>
        <w:t>tment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proceed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within 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4A6B4104" w14:textId="77777777" w:rsidR="00CF6B8C" w:rsidRDefault="00CF6B8C">
      <w:pPr>
        <w:pStyle w:val="BodyText"/>
        <w:spacing w:before="10"/>
        <w:rPr>
          <w:sz w:val="25"/>
        </w:rPr>
      </w:pPr>
    </w:p>
    <w:p w14:paraId="4A6B4105" w14:textId="77777777" w:rsidR="00CF6B8C" w:rsidRDefault="00EB66B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214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grantees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color w:val="0562C1"/>
          <w:spacing w:val="-1"/>
          <w:sz w:val="24"/>
        </w:rPr>
        <w:t xml:space="preserve"> </w:t>
      </w:r>
      <w:hyperlink r:id="rId27">
        <w:r>
          <w:rPr>
            <w:color w:val="0562C1"/>
            <w:sz w:val="24"/>
            <w:u w:val="single" w:color="0562C1"/>
          </w:rPr>
          <w:t>2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CFR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§ 200.344</w:t>
        </w:r>
        <w:r>
          <w:rPr>
            <w:color w:val="0562C1"/>
            <w:spacing w:val="-1"/>
            <w:sz w:val="24"/>
          </w:rPr>
          <w:t xml:space="preserve"> </w:t>
        </w:r>
      </w:hyperlink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7"/>
          <w:sz w:val="24"/>
        </w:rPr>
        <w:t xml:space="preserve"> </w:t>
      </w:r>
      <w:r>
        <w:rPr>
          <w:sz w:val="24"/>
        </w:rPr>
        <w:t>of the period of performance end date, the Department will report the grantee’s material</w:t>
      </w:r>
      <w:r>
        <w:rPr>
          <w:spacing w:val="1"/>
          <w:sz w:val="24"/>
        </w:rPr>
        <w:t xml:space="preserve"> </w:t>
      </w:r>
      <w:r>
        <w:rPr>
          <w:sz w:val="24"/>
        </w:rPr>
        <w:t>failur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FAPIIS (see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</w:p>
    <w:p w14:paraId="4A6B4106" w14:textId="77777777" w:rsidR="00CF6B8C" w:rsidRDefault="00CF6B8C">
      <w:pPr>
        <w:rPr>
          <w:sz w:val="24"/>
        </w:rPr>
        <w:sectPr w:rsidR="00CF6B8C">
          <w:pgSz w:w="12240" w:h="15840"/>
          <w:pgMar w:top="1360" w:right="1300" w:bottom="1200" w:left="1300" w:header="0" w:footer="1014" w:gutter="0"/>
          <w:cols w:space="720"/>
        </w:sectPr>
      </w:pPr>
    </w:p>
    <w:p w14:paraId="4A6B4107" w14:textId="77777777" w:rsidR="00CF6B8C" w:rsidRDefault="00EB66B7">
      <w:pPr>
        <w:pStyle w:val="BodyText"/>
        <w:spacing w:before="79"/>
        <w:ind w:left="860" w:right="242"/>
      </w:pPr>
      <w:hyperlink r:id="rId28">
        <w:r>
          <w:rPr>
            <w:color w:val="0562C1"/>
            <w:u w:val="single" w:color="0562C1"/>
          </w:rPr>
          <w:t>FAPIIS - Application Review</w:t>
        </w:r>
      </w:hyperlink>
      <w:r>
        <w:t>), and may pursue other enforcemen</w:t>
      </w:r>
      <w:r>
        <w:t>t actions in accordance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hyperlink r:id="rId29">
        <w:r>
          <w:rPr>
            <w:color w:val="0562C1"/>
            <w:u w:val="single" w:color="0562C1"/>
          </w:rPr>
          <w:t>2 CFR § 200.339</w:t>
        </w:r>
      </w:hyperlink>
      <w:r>
        <w:t>.</w:t>
      </w:r>
    </w:p>
    <w:p w14:paraId="4A6B4108" w14:textId="77777777" w:rsidR="00CF6B8C" w:rsidRDefault="00CF6B8C">
      <w:pPr>
        <w:pStyle w:val="BodyText"/>
        <w:spacing w:before="2"/>
        <w:rPr>
          <w:sz w:val="16"/>
        </w:rPr>
      </w:pPr>
    </w:p>
    <w:p w14:paraId="4A6B4109" w14:textId="77777777" w:rsidR="00CF6B8C" w:rsidRDefault="00EB66B7">
      <w:pPr>
        <w:pStyle w:val="BodyText"/>
        <w:spacing w:before="90" w:line="259" w:lineRule="auto"/>
        <w:ind w:left="140" w:right="754"/>
      </w:pPr>
      <w:r>
        <w:t>The</w:t>
      </w:r>
      <w:r>
        <w:rPr>
          <w:spacing w:val="-3"/>
        </w:rPr>
        <w:t xml:space="preserve"> </w:t>
      </w:r>
      <w:r>
        <w:t>120-calendar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grantees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Tydings</w:t>
      </w:r>
      <w:r>
        <w:rPr>
          <w:spacing w:val="-57"/>
        </w:rPr>
        <w:t xml:space="preserve"> </w:t>
      </w:r>
      <w:r>
        <w:t>Period</w:t>
      </w:r>
      <w:hyperlink w:anchor="_bookmark1" w:history="1">
        <w:r>
          <w:rPr>
            <w:vertAlign w:val="superscript"/>
          </w:rPr>
          <w:t>2</w:t>
        </w:r>
        <w:r>
          <w:rPr>
            <w:spacing w:val="1"/>
          </w:rPr>
          <w:t xml:space="preserve"> </w:t>
        </w:r>
      </w:hyperlink>
      <w:r>
        <w:t>accordingly:</w:t>
      </w:r>
    </w:p>
    <w:p w14:paraId="4A6B410A" w14:textId="77777777" w:rsidR="00CF6B8C" w:rsidRDefault="00EB66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0" w:line="259" w:lineRule="auto"/>
        <w:ind w:left="859" w:right="166"/>
        <w:rPr>
          <w:sz w:val="24"/>
        </w:rPr>
      </w:pPr>
      <w:r>
        <w:rPr>
          <w:sz w:val="24"/>
        </w:rPr>
        <w:t>Grantees with a 24-month or 27-month Tydings Period will have 120-calendar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the end date of this period to submit all financial, performance, and other reports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 by the terms and condition of the grant. </w:t>
      </w:r>
      <w:r>
        <w:rPr>
          <w:sz w:val="24"/>
        </w:rPr>
        <w:t>As noted above, requests late liquidation</w:t>
      </w:r>
      <w:r>
        <w:rPr>
          <w:spacing w:val="-57"/>
          <w:sz w:val="24"/>
        </w:rPr>
        <w:t xml:space="preserve"> </w:t>
      </w:r>
      <w:r>
        <w:rPr>
          <w:sz w:val="24"/>
        </w:rPr>
        <w:t>requests under State-Administered program are set out in ACS Directive 2-110.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30" w:anchor="search%3Dlate%20liquidation">
        <w:r>
          <w:rPr>
            <w:color w:val="0562C1"/>
            <w:sz w:val="24"/>
            <w:u w:val="single" w:color="0562C1"/>
          </w:rPr>
          <w:t>Departmental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Records</w:t>
        </w:r>
        <w:r>
          <w:rPr>
            <w:color w:val="0562C1"/>
            <w:spacing w:val="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and Information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Management Program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(ed.gov)</w:t>
        </w:r>
      </w:hyperlink>
      <w:r>
        <w:rPr>
          <w:sz w:val="24"/>
        </w:rPr>
        <w:t>).</w:t>
      </w:r>
    </w:p>
    <w:p w14:paraId="4A6B410B" w14:textId="77777777" w:rsidR="00CF6B8C" w:rsidRDefault="00CF6B8C">
      <w:pPr>
        <w:pStyle w:val="BodyText"/>
        <w:spacing w:before="10"/>
        <w:rPr>
          <w:sz w:val="17"/>
        </w:rPr>
      </w:pPr>
    </w:p>
    <w:p w14:paraId="4A6B410C" w14:textId="77777777" w:rsidR="00CF6B8C" w:rsidRDefault="00EB66B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0" w:line="259" w:lineRule="auto"/>
        <w:ind w:right="202"/>
        <w:rPr>
          <w:sz w:val="24"/>
        </w:rPr>
      </w:pPr>
      <w:r>
        <w:rPr>
          <w:sz w:val="24"/>
        </w:rPr>
        <w:t>The additional time resulting from the implementation of the 120-calendar day</w:t>
      </w:r>
      <w:r>
        <w:rPr>
          <w:spacing w:val="1"/>
          <w:sz w:val="24"/>
        </w:rPr>
        <w:t xml:space="preserve"> </w:t>
      </w:r>
      <w:r>
        <w:rPr>
          <w:sz w:val="24"/>
        </w:rPr>
        <w:t>liquidation period does not change the requirement that all final closeout actions must be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an extension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Department.</w:t>
      </w:r>
    </w:p>
    <w:p w14:paraId="4A6B410D" w14:textId="77777777" w:rsidR="00CF6B8C" w:rsidRDefault="00EB66B7">
      <w:pPr>
        <w:pStyle w:val="Heading1"/>
        <w:spacing w:before="159"/>
        <w:ind w:left="139"/>
      </w:pPr>
      <w:r>
        <w:t>Procedures</w:t>
      </w:r>
    </w:p>
    <w:p w14:paraId="4A6B410E" w14:textId="77777777" w:rsidR="00CF6B8C" w:rsidRDefault="00CF6B8C">
      <w:pPr>
        <w:pStyle w:val="BodyText"/>
        <w:spacing w:before="11"/>
        <w:rPr>
          <w:b/>
          <w:sz w:val="23"/>
        </w:rPr>
      </w:pPr>
    </w:p>
    <w:p w14:paraId="4A6B410F" w14:textId="77777777" w:rsidR="00CF6B8C" w:rsidRDefault="00EB66B7">
      <w:pPr>
        <w:pStyle w:val="BodyText"/>
        <w:ind w:left="139" w:right="217"/>
      </w:pPr>
      <w:r>
        <w:t>When closing out grants, the Department will follow</w:t>
      </w:r>
      <w:r>
        <w:t xml:space="preserve"> applicable procedures addressed in the</w:t>
      </w:r>
      <w:r>
        <w:rPr>
          <w:spacing w:val="1"/>
        </w:rPr>
        <w:t xml:space="preserve"> </w:t>
      </w:r>
      <w:r>
        <w:t xml:space="preserve">Handbook for the Discretionary Grant Process (available at </w:t>
      </w:r>
      <w:hyperlink r:id="rId31">
        <w:r>
          <w:rPr>
            <w:color w:val="0562C1"/>
            <w:u w:val="single" w:color="0562C1"/>
          </w:rPr>
          <w:t>Discretionary - Closeout</w:t>
        </w:r>
      </w:hyperlink>
      <w:r>
        <w:rPr>
          <w:color w:val="444444"/>
        </w:rPr>
        <w:t>), and in the</w:t>
      </w:r>
      <w:r>
        <w:rPr>
          <w:color w:val="444444"/>
          <w:spacing w:val="-58"/>
        </w:rPr>
        <w:t xml:space="preserve"> </w:t>
      </w:r>
      <w:r>
        <w:rPr>
          <w:color w:val="444444"/>
        </w:rPr>
        <w:t>Guide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Managing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Formula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Grant Programs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(available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at </w:t>
      </w:r>
      <w:hyperlink r:id="rId32">
        <w:r>
          <w:rPr>
            <w:color w:val="0562C1"/>
            <w:u w:val="single" w:color="0562C1"/>
          </w:rPr>
          <w:t>Formula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– Closeout</w:t>
        </w:r>
      </w:hyperlink>
      <w:r>
        <w:rPr>
          <w:color w:val="444444"/>
        </w:rPr>
        <w:t>).</w:t>
      </w:r>
    </w:p>
    <w:p w14:paraId="4A6B4110" w14:textId="77777777" w:rsidR="00CF6B8C" w:rsidRDefault="00CF6B8C">
      <w:pPr>
        <w:pStyle w:val="BodyText"/>
        <w:spacing w:before="2"/>
        <w:rPr>
          <w:sz w:val="16"/>
        </w:rPr>
      </w:pPr>
    </w:p>
    <w:p w14:paraId="4A6B4111" w14:textId="77777777" w:rsidR="00CF6B8C" w:rsidRDefault="00EB66B7">
      <w:pPr>
        <w:pStyle w:val="Heading1"/>
        <w:spacing w:before="90"/>
      </w:pPr>
      <w:bookmarkStart w:id="7" w:name="Other_Pertinent_Information"/>
      <w:bookmarkEnd w:id="7"/>
      <w:r>
        <w:t>Other</w:t>
      </w:r>
      <w:r>
        <w:rPr>
          <w:spacing w:val="-5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Information</w:t>
      </w:r>
    </w:p>
    <w:p w14:paraId="4A6B4112" w14:textId="77777777" w:rsidR="00CF6B8C" w:rsidRDefault="00CF6B8C">
      <w:pPr>
        <w:pStyle w:val="BodyText"/>
        <w:rPr>
          <w:b/>
        </w:rPr>
      </w:pPr>
    </w:p>
    <w:p w14:paraId="4A6B4113" w14:textId="77777777" w:rsidR="00CF6B8C" w:rsidRDefault="00EB66B7">
      <w:pPr>
        <w:pStyle w:val="BodyText"/>
        <w:ind w:left="140" w:right="155"/>
      </w:pPr>
      <w:r>
        <w:t>The Department has revised Grant Award Notification attachments 2 and 2F (Specific Grant</w:t>
      </w:r>
      <w:r>
        <w:rPr>
          <w:spacing w:val="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Reports)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120-calendar</w:t>
      </w:r>
      <w:r>
        <w:rPr>
          <w:spacing w:val="-2"/>
        </w:rPr>
        <w:t xml:space="preserve"> </w:t>
      </w:r>
      <w:r>
        <w:t>day</w:t>
      </w:r>
      <w:r>
        <w:rPr>
          <w:spacing w:val="-57"/>
        </w:rPr>
        <w:t xml:space="preserve"> </w:t>
      </w:r>
      <w:r>
        <w:t>liquidation period.</w:t>
      </w:r>
      <w:r>
        <w:rPr>
          <w:spacing w:val="1"/>
        </w:rPr>
        <w:t xml:space="preserve"> </w:t>
      </w:r>
      <w:r>
        <w:t>Official versions of these attachments are stored in G5.</w:t>
      </w:r>
      <w:r>
        <w:rPr>
          <w:spacing w:val="1"/>
        </w:rPr>
        <w:t xml:space="preserve"> </w:t>
      </w:r>
      <w:r>
        <w:t>Additionally, the</w:t>
      </w:r>
      <w:r>
        <w:rPr>
          <w:spacing w:val="1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closeout status in</w:t>
      </w:r>
      <w:r>
        <w:rPr>
          <w:spacing w:val="-1"/>
        </w:rPr>
        <w:t xml:space="preserve"> </w:t>
      </w:r>
      <w:r>
        <w:t>G5 has also been</w:t>
      </w:r>
      <w:r>
        <w:rPr>
          <w:spacing w:val="-1"/>
        </w:rPr>
        <w:t xml:space="preserve"> </w:t>
      </w:r>
      <w:r>
        <w:t>updated accordingly.</w:t>
      </w:r>
    </w:p>
    <w:p w14:paraId="4A6B4114" w14:textId="77777777" w:rsidR="00CF6B8C" w:rsidRDefault="00CF6B8C">
      <w:pPr>
        <w:pStyle w:val="BodyText"/>
      </w:pPr>
    </w:p>
    <w:p w14:paraId="4A6B4115" w14:textId="77777777" w:rsidR="00CF6B8C" w:rsidRDefault="00EB66B7">
      <w:pPr>
        <w:pStyle w:val="Heading1"/>
      </w:pPr>
      <w:bookmarkStart w:id="8" w:name="Additional_Information"/>
      <w:bookmarkEnd w:id="8"/>
      <w:r>
        <w:t>Addit</w:t>
      </w:r>
      <w:r>
        <w:t>ional</w:t>
      </w:r>
      <w:r>
        <w:rPr>
          <w:spacing w:val="-7"/>
        </w:rPr>
        <w:t xml:space="preserve"> </w:t>
      </w:r>
      <w:r>
        <w:t>Information</w:t>
      </w:r>
    </w:p>
    <w:p w14:paraId="4A6B4116" w14:textId="77777777" w:rsidR="00CF6B8C" w:rsidRDefault="00CF6B8C">
      <w:pPr>
        <w:pStyle w:val="BodyText"/>
        <w:rPr>
          <w:b/>
        </w:rPr>
      </w:pPr>
    </w:p>
    <w:p w14:paraId="4A6B4117" w14:textId="77777777" w:rsidR="00CF6B8C" w:rsidRDefault="00EB66B7">
      <w:pPr>
        <w:pStyle w:val="BodyText"/>
        <w:ind w:left="140" w:right="646"/>
        <w:jc w:val="both"/>
      </w:pPr>
      <w:r>
        <w:t>Questions about this bulletin may be addressed to the appropriate Office of Acquisition and</w:t>
      </w:r>
      <w:r>
        <w:rPr>
          <w:spacing w:val="1"/>
        </w:rPr>
        <w:t xml:space="preserve"> </w:t>
      </w:r>
      <w:r>
        <w:t xml:space="preserve">Grants Administration, Grant Policy and Training Division (GPTD) liaisons found at </w:t>
      </w:r>
      <w:hyperlink r:id="rId33">
        <w:r>
          <w:rPr>
            <w:color w:val="0562C1"/>
            <w:u w:val="single" w:color="0562C1"/>
          </w:rPr>
          <w:t>GPTD</w:t>
        </w:r>
      </w:hyperlink>
      <w:r>
        <w:rPr>
          <w:color w:val="0562C1"/>
          <w:spacing w:val="-58"/>
        </w:rPr>
        <w:t xml:space="preserve"> </w:t>
      </w:r>
      <w:hyperlink r:id="rId34">
        <w:r>
          <w:rPr>
            <w:color w:val="0562C1"/>
            <w:u w:val="single" w:color="0562C1"/>
          </w:rPr>
          <w:t>Liaisons</w:t>
        </w:r>
      </w:hyperlink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Ayisa</w:t>
      </w:r>
      <w:r>
        <w:rPr>
          <w:spacing w:val="-2"/>
        </w:rPr>
        <w:t xml:space="preserve"> </w:t>
      </w:r>
      <w:r>
        <w:t>Crowe,</w:t>
      </w:r>
      <w:r>
        <w:rPr>
          <w:spacing w:val="-1"/>
        </w:rPr>
        <w:t xml:space="preserve"> </w:t>
      </w:r>
      <w:r>
        <w:t>GPTD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35">
        <w:r>
          <w:rPr>
            <w:color w:val="2D74B5"/>
            <w:u w:val="single" w:color="2D74B5"/>
          </w:rPr>
          <w:t>ayisa.crowe@ed.gov</w:t>
        </w:r>
      </w:hyperlink>
      <w:r>
        <w:rPr>
          <w:color w:val="2D74B5"/>
          <w:spacing w:val="-1"/>
        </w:rPr>
        <w:t xml:space="preserve"> </w:t>
      </w:r>
      <w:r>
        <w:t>or at</w:t>
      </w:r>
      <w:r>
        <w:rPr>
          <w:spacing w:val="-1"/>
        </w:rPr>
        <w:t xml:space="preserve"> </w:t>
      </w:r>
      <w:r>
        <w:t>(202)</w:t>
      </w:r>
      <w:r>
        <w:rPr>
          <w:spacing w:val="-2"/>
        </w:rPr>
        <w:t xml:space="preserve"> </w:t>
      </w:r>
      <w:r>
        <w:t>245-6154.</w:t>
      </w:r>
    </w:p>
    <w:p w14:paraId="4A6B4118" w14:textId="77777777" w:rsidR="00CF6B8C" w:rsidRDefault="00CF6B8C">
      <w:pPr>
        <w:pStyle w:val="BodyText"/>
        <w:rPr>
          <w:sz w:val="20"/>
        </w:rPr>
      </w:pPr>
    </w:p>
    <w:p w14:paraId="4A6B4119" w14:textId="77777777" w:rsidR="00CF6B8C" w:rsidRDefault="00CF6B8C">
      <w:pPr>
        <w:pStyle w:val="BodyText"/>
        <w:rPr>
          <w:sz w:val="20"/>
        </w:rPr>
      </w:pPr>
    </w:p>
    <w:p w14:paraId="4A6B411A" w14:textId="77777777" w:rsidR="00CF6B8C" w:rsidRDefault="00CF6B8C">
      <w:pPr>
        <w:pStyle w:val="BodyText"/>
        <w:rPr>
          <w:sz w:val="20"/>
        </w:rPr>
      </w:pPr>
    </w:p>
    <w:p w14:paraId="4A6B411B" w14:textId="77777777" w:rsidR="00CF6B8C" w:rsidRDefault="00CF6B8C">
      <w:pPr>
        <w:pStyle w:val="BodyText"/>
        <w:rPr>
          <w:sz w:val="20"/>
        </w:rPr>
      </w:pPr>
    </w:p>
    <w:p w14:paraId="4A6B411C" w14:textId="77777777" w:rsidR="00CF6B8C" w:rsidRDefault="00CF6B8C">
      <w:pPr>
        <w:pStyle w:val="BodyText"/>
        <w:rPr>
          <w:sz w:val="20"/>
        </w:rPr>
      </w:pPr>
    </w:p>
    <w:p w14:paraId="4A6B411D" w14:textId="77777777" w:rsidR="00CF6B8C" w:rsidRDefault="00CF6B8C">
      <w:pPr>
        <w:pStyle w:val="BodyText"/>
        <w:rPr>
          <w:sz w:val="20"/>
        </w:rPr>
      </w:pPr>
    </w:p>
    <w:p w14:paraId="4A6B411E" w14:textId="77777777" w:rsidR="00CF6B8C" w:rsidRDefault="00CF6B8C">
      <w:pPr>
        <w:pStyle w:val="BodyText"/>
        <w:rPr>
          <w:sz w:val="20"/>
        </w:rPr>
      </w:pPr>
    </w:p>
    <w:p w14:paraId="4A6B411F" w14:textId="77777777" w:rsidR="00CF6B8C" w:rsidRDefault="00CF6B8C">
      <w:pPr>
        <w:pStyle w:val="BodyText"/>
        <w:rPr>
          <w:sz w:val="20"/>
        </w:rPr>
      </w:pPr>
    </w:p>
    <w:p w14:paraId="4A6B4120" w14:textId="77777777" w:rsidR="00CF6B8C" w:rsidRDefault="00CF6B8C">
      <w:pPr>
        <w:pStyle w:val="BodyText"/>
        <w:rPr>
          <w:sz w:val="20"/>
        </w:rPr>
      </w:pPr>
    </w:p>
    <w:p w14:paraId="4A6B4121" w14:textId="39D3186C" w:rsidR="00CF6B8C" w:rsidRDefault="00EB66B7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6B415E" wp14:editId="55730D53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0BF2" id="Rectangle 2" o:spid="_x0000_s1026" style="position:absolute;margin-left:1in;margin-top:8.4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A6B4122" w14:textId="77777777" w:rsidR="00CF6B8C" w:rsidRDefault="00EB66B7">
      <w:pPr>
        <w:spacing w:before="72"/>
        <w:ind w:left="140" w:right="343" w:hanging="1"/>
        <w:rPr>
          <w:sz w:val="20"/>
        </w:rPr>
      </w:pPr>
      <w:bookmarkStart w:id="9" w:name="_bookmark1"/>
      <w:bookmarkEnd w:id="9"/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b/>
          <w:sz w:val="20"/>
        </w:rPr>
        <w:t>Tydings Period</w:t>
      </w:r>
      <w:r>
        <w:rPr>
          <w:sz w:val="20"/>
        </w:rPr>
        <w:t>. Under Section 421(b) of the General Education Provisions Act, 20 USC §1225(b), any funds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Tydings Period that are not obligated at the end of the federal funding period specified in Block 6 of the</w:t>
      </w:r>
      <w:r>
        <w:rPr>
          <w:spacing w:val="-47"/>
          <w:sz w:val="20"/>
        </w:rPr>
        <w:t xml:space="preserve"> </w:t>
      </w:r>
      <w:r>
        <w:rPr>
          <w:sz w:val="20"/>
        </w:rPr>
        <w:t>Grant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(GAN)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remain 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 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months.</w:t>
      </w:r>
    </w:p>
    <w:p w14:paraId="4A6B4123" w14:textId="77777777" w:rsidR="00CF6B8C" w:rsidRDefault="00CF6B8C">
      <w:pPr>
        <w:rPr>
          <w:sz w:val="20"/>
        </w:rPr>
        <w:sectPr w:rsidR="00CF6B8C">
          <w:pgSz w:w="12240" w:h="15840"/>
          <w:pgMar w:top="1360" w:right="1300" w:bottom="1200" w:left="1300" w:header="0" w:footer="1014" w:gutter="0"/>
          <w:cols w:space="720"/>
        </w:sectPr>
      </w:pPr>
    </w:p>
    <w:p w14:paraId="4A6B4124" w14:textId="77777777" w:rsidR="00CF6B8C" w:rsidRDefault="00EB66B7">
      <w:pPr>
        <w:pStyle w:val="BodyText"/>
        <w:spacing w:before="79"/>
        <w:ind w:left="140"/>
      </w:pPr>
      <w:r>
        <w:lastRenderedPageBreak/>
        <w:t>Table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Liquidation Extensions</w:t>
      </w:r>
      <w:r>
        <w:rPr>
          <w:spacing w:val="-1"/>
        </w:rPr>
        <w:t xml:space="preserve"> </w:t>
      </w:r>
      <w:r>
        <w:t>Explanation</w:t>
      </w:r>
    </w:p>
    <w:p w14:paraId="4A6B4125" w14:textId="77777777" w:rsidR="00CF6B8C" w:rsidRDefault="00CF6B8C">
      <w:pPr>
        <w:pStyle w:val="BodyText"/>
        <w:spacing w:before="1"/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1306"/>
        <w:gridCol w:w="1416"/>
        <w:gridCol w:w="1351"/>
        <w:gridCol w:w="1531"/>
        <w:gridCol w:w="3588"/>
      </w:tblGrid>
      <w:tr w:rsidR="00CF6B8C" w14:paraId="4A6B4132" w14:textId="77777777">
        <w:trPr>
          <w:trHeight w:val="759"/>
        </w:trPr>
        <w:tc>
          <w:tcPr>
            <w:tcW w:w="149" w:type="dxa"/>
            <w:shd w:val="clear" w:color="auto" w:fill="D9D9D9"/>
          </w:tcPr>
          <w:p w14:paraId="4A6B4126" w14:textId="77777777" w:rsidR="00CF6B8C" w:rsidRDefault="00CF6B8C">
            <w:pPr>
              <w:pStyle w:val="TableParagraph"/>
            </w:pPr>
          </w:p>
        </w:tc>
        <w:tc>
          <w:tcPr>
            <w:tcW w:w="1306" w:type="dxa"/>
            <w:shd w:val="clear" w:color="auto" w:fill="D9D9D9"/>
          </w:tcPr>
          <w:p w14:paraId="4A6B4127" w14:textId="77777777" w:rsidR="00CF6B8C" w:rsidRDefault="00EB66B7">
            <w:pPr>
              <w:pStyle w:val="TableParagraph"/>
              <w:spacing w:line="251" w:lineRule="exact"/>
              <w:ind w:left="325" w:hanging="63"/>
              <w:rPr>
                <w:b/>
              </w:rPr>
            </w:pPr>
            <w:r>
              <w:rPr>
                <w:b/>
              </w:rPr>
              <w:t>Current</w:t>
            </w:r>
          </w:p>
          <w:p w14:paraId="4A6B4128" w14:textId="77777777" w:rsidR="00CF6B8C" w:rsidRDefault="00EB66B7">
            <w:pPr>
              <w:pStyle w:val="TableParagraph"/>
              <w:spacing w:line="252" w:lineRule="exact"/>
              <w:ind w:left="356" w:right="294" w:hanging="32"/>
              <w:rPr>
                <w:b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1416" w:type="dxa"/>
            <w:shd w:val="clear" w:color="auto" w:fill="D9D9D9"/>
          </w:tcPr>
          <w:p w14:paraId="4A6B4129" w14:textId="77777777" w:rsidR="00CF6B8C" w:rsidRDefault="00CF6B8C">
            <w:pPr>
              <w:pStyle w:val="TableParagraph"/>
              <w:spacing w:before="6"/>
              <w:rPr>
                <w:sz w:val="20"/>
              </w:rPr>
            </w:pPr>
          </w:p>
          <w:p w14:paraId="4A6B412A" w14:textId="77777777" w:rsidR="00CF6B8C" w:rsidRDefault="00EB66B7">
            <w:pPr>
              <w:pStyle w:val="TableParagraph"/>
              <w:spacing w:line="252" w:lineRule="exact"/>
              <w:ind w:left="488" w:right="114" w:hanging="339"/>
              <w:rPr>
                <w:b/>
              </w:rPr>
            </w:pPr>
            <w:r>
              <w:rPr>
                <w:b/>
              </w:rPr>
              <w:t>Liquidation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351" w:type="dxa"/>
            <w:shd w:val="clear" w:color="auto" w:fill="D9D9D9"/>
          </w:tcPr>
          <w:p w14:paraId="4A6B412B" w14:textId="77777777" w:rsidR="00CF6B8C" w:rsidRDefault="00CF6B8C">
            <w:pPr>
              <w:pStyle w:val="TableParagraph"/>
              <w:spacing w:before="6"/>
              <w:rPr>
                <w:sz w:val="20"/>
              </w:rPr>
            </w:pPr>
          </w:p>
          <w:p w14:paraId="4A6B412C" w14:textId="77777777" w:rsidR="00CF6B8C" w:rsidRDefault="00EB66B7">
            <w:pPr>
              <w:pStyle w:val="TableParagraph"/>
              <w:spacing w:line="252" w:lineRule="exact"/>
              <w:ind w:left="452" w:right="115" w:hanging="308"/>
              <w:rPr>
                <w:b/>
              </w:rPr>
            </w:pPr>
            <w:r>
              <w:rPr>
                <w:b/>
              </w:rPr>
              <w:t>Suspension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531" w:type="dxa"/>
            <w:shd w:val="clear" w:color="auto" w:fill="D9D9D9"/>
          </w:tcPr>
          <w:p w14:paraId="4A6B412D" w14:textId="77777777" w:rsidR="00CF6B8C" w:rsidRDefault="00EB66B7">
            <w:pPr>
              <w:pStyle w:val="TableParagraph"/>
              <w:spacing w:line="251" w:lineRule="exact"/>
              <w:ind w:left="133" w:hanging="17"/>
              <w:rPr>
                <w:b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Status</w:t>
            </w:r>
          </w:p>
          <w:p w14:paraId="4A6B412E" w14:textId="77777777" w:rsidR="00CF6B8C" w:rsidRDefault="00EB66B7">
            <w:pPr>
              <w:pStyle w:val="TableParagraph"/>
              <w:spacing w:line="252" w:lineRule="exact"/>
              <w:ind w:left="392" w:right="106" w:hanging="260"/>
              <w:rPr>
                <w:b/>
              </w:rPr>
            </w:pPr>
            <w:r>
              <w:rPr>
                <w:b/>
              </w:rPr>
              <w:t>After Adding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30 Days</w:t>
            </w:r>
          </w:p>
        </w:tc>
        <w:tc>
          <w:tcPr>
            <w:tcW w:w="3588" w:type="dxa"/>
            <w:shd w:val="clear" w:color="auto" w:fill="D9D9D9"/>
          </w:tcPr>
          <w:p w14:paraId="4A6B412F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0" w14:textId="77777777" w:rsidR="00CF6B8C" w:rsidRDefault="00CF6B8C">
            <w:pPr>
              <w:pStyle w:val="TableParagraph"/>
              <w:spacing w:before="10"/>
              <w:rPr>
                <w:sz w:val="19"/>
              </w:rPr>
            </w:pPr>
          </w:p>
          <w:p w14:paraId="4A6B4131" w14:textId="77777777" w:rsidR="00CF6B8C" w:rsidRDefault="00EB66B7">
            <w:pPr>
              <w:pStyle w:val="TableParagraph"/>
              <w:spacing w:line="235" w:lineRule="exact"/>
              <w:ind w:left="1190" w:right="1188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F6B8C" w14:paraId="4A6B4141" w14:textId="77777777">
        <w:trPr>
          <w:trHeight w:val="1012"/>
        </w:trPr>
        <w:tc>
          <w:tcPr>
            <w:tcW w:w="149" w:type="dxa"/>
          </w:tcPr>
          <w:p w14:paraId="4A6B4133" w14:textId="77777777" w:rsidR="00CF6B8C" w:rsidRDefault="00EB66B7">
            <w:pPr>
              <w:pStyle w:val="TableParagraph"/>
              <w:spacing w:line="251" w:lineRule="exact"/>
              <w:ind w:left="18" w:right="-15"/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4A6B4134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5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6" w14:textId="77777777" w:rsidR="00CF6B8C" w:rsidRDefault="00EB66B7">
            <w:pPr>
              <w:pStyle w:val="TableParagraph"/>
              <w:spacing w:before="204" w:line="235" w:lineRule="exact"/>
              <w:ind w:left="107"/>
            </w:pPr>
            <w:r>
              <w:t>Open</w:t>
            </w:r>
          </w:p>
        </w:tc>
        <w:tc>
          <w:tcPr>
            <w:tcW w:w="1416" w:type="dxa"/>
          </w:tcPr>
          <w:p w14:paraId="4A6B4137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8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9" w14:textId="77777777" w:rsidR="00CF6B8C" w:rsidRDefault="00EB66B7">
            <w:pPr>
              <w:pStyle w:val="TableParagraph"/>
              <w:spacing w:before="204" w:line="235" w:lineRule="exact"/>
              <w:ind w:left="106"/>
            </w:pPr>
            <w:r>
              <w:t>add 30 days</w:t>
            </w:r>
          </w:p>
        </w:tc>
        <w:tc>
          <w:tcPr>
            <w:tcW w:w="1351" w:type="dxa"/>
          </w:tcPr>
          <w:p w14:paraId="4A6B413A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B" w14:textId="77777777" w:rsidR="00CF6B8C" w:rsidRDefault="00EB66B7">
            <w:pPr>
              <w:pStyle w:val="TableParagraph"/>
              <w:spacing w:before="212" w:line="252" w:lineRule="exact"/>
              <w:ind w:left="106" w:right="343"/>
            </w:pPr>
            <w:r>
              <w:t>reduce 30</w:t>
            </w:r>
            <w:r>
              <w:rPr>
                <w:spacing w:val="-52"/>
              </w:rPr>
              <w:t xml:space="preserve"> </w:t>
            </w:r>
            <w:r>
              <w:t>days</w:t>
            </w:r>
          </w:p>
        </w:tc>
        <w:tc>
          <w:tcPr>
            <w:tcW w:w="1531" w:type="dxa"/>
          </w:tcPr>
          <w:p w14:paraId="4A6B413C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D" w14:textId="77777777" w:rsidR="00CF6B8C" w:rsidRDefault="00CF6B8C">
            <w:pPr>
              <w:pStyle w:val="TableParagraph"/>
              <w:rPr>
                <w:sz w:val="24"/>
              </w:rPr>
            </w:pPr>
          </w:p>
          <w:p w14:paraId="4A6B413E" w14:textId="77777777" w:rsidR="00CF6B8C" w:rsidRDefault="00EB66B7">
            <w:pPr>
              <w:pStyle w:val="TableParagraph"/>
              <w:spacing w:before="204" w:line="235" w:lineRule="exact"/>
              <w:ind w:left="104"/>
            </w:pPr>
            <w:r>
              <w:t>Open</w:t>
            </w:r>
          </w:p>
        </w:tc>
        <w:tc>
          <w:tcPr>
            <w:tcW w:w="3588" w:type="dxa"/>
          </w:tcPr>
          <w:p w14:paraId="4A6B413F" w14:textId="77777777" w:rsidR="00CF6B8C" w:rsidRDefault="00EB66B7">
            <w:pPr>
              <w:pStyle w:val="TableParagraph"/>
              <w:ind w:left="-1" w:right="116"/>
            </w:pPr>
            <w:r>
              <w:t>Since these awards are in Open status,</w:t>
            </w:r>
            <w:r>
              <w:rPr>
                <w:spacing w:val="1"/>
              </w:rPr>
              <w:t xml:space="preserve"> </w:t>
            </w:r>
            <w:r>
              <w:t>30 days has been added to the</w:t>
            </w:r>
            <w:r>
              <w:rPr>
                <w:spacing w:val="1"/>
              </w:rPr>
              <w:t xml:space="preserve"> </w:t>
            </w:r>
            <w:r>
              <w:t>Liquidation</w:t>
            </w:r>
            <w:r>
              <w:rPr>
                <w:spacing w:val="-3"/>
              </w:rPr>
              <w:t xml:space="preserve"> </w:t>
            </w:r>
            <w:r>
              <w:t>period,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Suspension</w:t>
            </w:r>
            <w:r>
              <w:rPr>
                <w:spacing w:val="-2"/>
              </w:rPr>
              <w:t xml:space="preserve"> </w:t>
            </w:r>
            <w:r>
              <w:t>has</w:t>
            </w:r>
          </w:p>
          <w:p w14:paraId="4A6B4140" w14:textId="77777777" w:rsidR="00CF6B8C" w:rsidRDefault="00EB66B7">
            <w:pPr>
              <w:pStyle w:val="TableParagraph"/>
              <w:spacing w:line="235" w:lineRule="exact"/>
              <w:ind w:left="-1"/>
            </w:pPr>
            <w:r>
              <w:t>been</w:t>
            </w:r>
            <w:r>
              <w:rPr>
                <w:spacing w:val="-3"/>
              </w:rPr>
              <w:t xml:space="preserve"> </w:t>
            </w:r>
            <w:r>
              <w:t>reduced by</w:t>
            </w:r>
            <w:r>
              <w:rPr>
                <w:spacing w:val="-3"/>
              </w:rPr>
              <w:t xml:space="preserve"> </w:t>
            </w:r>
            <w:r>
              <w:t>30 days.</w:t>
            </w:r>
          </w:p>
        </w:tc>
      </w:tr>
      <w:tr w:rsidR="00CF6B8C" w14:paraId="4A6B4149" w14:textId="77777777">
        <w:trPr>
          <w:trHeight w:val="1009"/>
        </w:trPr>
        <w:tc>
          <w:tcPr>
            <w:tcW w:w="149" w:type="dxa"/>
          </w:tcPr>
          <w:p w14:paraId="4A6B4142" w14:textId="77777777" w:rsidR="00CF6B8C" w:rsidRDefault="00EB66B7">
            <w:pPr>
              <w:pStyle w:val="TableParagraph"/>
              <w:spacing w:line="251" w:lineRule="exact"/>
              <w:ind w:left="18" w:right="-15"/>
              <w:jc w:val="center"/>
            </w:pPr>
            <w:r>
              <w:t>2</w:t>
            </w:r>
          </w:p>
        </w:tc>
        <w:tc>
          <w:tcPr>
            <w:tcW w:w="1306" w:type="dxa"/>
          </w:tcPr>
          <w:p w14:paraId="4A6B4143" w14:textId="77777777" w:rsidR="00CF6B8C" w:rsidRDefault="00EB66B7">
            <w:pPr>
              <w:pStyle w:val="TableParagraph"/>
              <w:spacing w:line="251" w:lineRule="exact"/>
              <w:ind w:left="107"/>
            </w:pPr>
            <w:r>
              <w:t>Liquidation</w:t>
            </w:r>
          </w:p>
        </w:tc>
        <w:tc>
          <w:tcPr>
            <w:tcW w:w="1416" w:type="dxa"/>
          </w:tcPr>
          <w:p w14:paraId="4A6B4144" w14:textId="77777777" w:rsidR="00CF6B8C" w:rsidRDefault="00EB66B7">
            <w:pPr>
              <w:pStyle w:val="TableParagraph"/>
              <w:spacing w:line="251" w:lineRule="exact"/>
              <w:ind w:left="106"/>
            </w:pPr>
            <w:r>
              <w:t>add 30 days</w:t>
            </w:r>
          </w:p>
        </w:tc>
        <w:tc>
          <w:tcPr>
            <w:tcW w:w="1351" w:type="dxa"/>
          </w:tcPr>
          <w:p w14:paraId="4A6B4145" w14:textId="77777777" w:rsidR="00CF6B8C" w:rsidRDefault="00EB66B7">
            <w:pPr>
              <w:pStyle w:val="TableParagraph"/>
              <w:ind w:left="106" w:right="343"/>
            </w:pPr>
            <w:r>
              <w:t>reduce 30</w:t>
            </w:r>
            <w:r>
              <w:rPr>
                <w:spacing w:val="-52"/>
              </w:rPr>
              <w:t xml:space="preserve"> </w:t>
            </w:r>
            <w:r>
              <w:t>days</w:t>
            </w:r>
          </w:p>
        </w:tc>
        <w:tc>
          <w:tcPr>
            <w:tcW w:w="1531" w:type="dxa"/>
          </w:tcPr>
          <w:p w14:paraId="4A6B4146" w14:textId="77777777" w:rsidR="00CF6B8C" w:rsidRDefault="00EB66B7">
            <w:pPr>
              <w:pStyle w:val="TableParagraph"/>
              <w:spacing w:line="251" w:lineRule="exact"/>
              <w:ind w:left="104"/>
            </w:pPr>
            <w:r>
              <w:t>Liquidation</w:t>
            </w:r>
          </w:p>
        </w:tc>
        <w:tc>
          <w:tcPr>
            <w:tcW w:w="3588" w:type="dxa"/>
          </w:tcPr>
          <w:p w14:paraId="4A6B4147" w14:textId="77777777" w:rsidR="00CF6B8C" w:rsidRDefault="00EB66B7">
            <w:pPr>
              <w:pStyle w:val="TableParagraph"/>
              <w:ind w:left="-1" w:right="116"/>
            </w:pPr>
            <w:r>
              <w:t>Since these awards are in Liquidation</w:t>
            </w:r>
            <w:r>
              <w:rPr>
                <w:spacing w:val="1"/>
              </w:rPr>
              <w:t xml:space="preserve"> </w:t>
            </w:r>
            <w:r>
              <w:t>status, 30 days has been added to the</w:t>
            </w:r>
            <w:r>
              <w:rPr>
                <w:spacing w:val="1"/>
              </w:rPr>
              <w:t xml:space="preserve"> </w:t>
            </w:r>
            <w:r>
              <w:t>Liquidation</w:t>
            </w:r>
            <w:r>
              <w:rPr>
                <w:spacing w:val="-3"/>
              </w:rPr>
              <w:t xml:space="preserve"> </w:t>
            </w:r>
            <w:r>
              <w:t>period,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Suspension</w:t>
            </w:r>
            <w:r>
              <w:rPr>
                <w:spacing w:val="-2"/>
              </w:rPr>
              <w:t xml:space="preserve"> </w:t>
            </w:r>
            <w:r>
              <w:t>has</w:t>
            </w:r>
          </w:p>
          <w:p w14:paraId="4A6B4148" w14:textId="77777777" w:rsidR="00CF6B8C" w:rsidRDefault="00EB66B7">
            <w:pPr>
              <w:pStyle w:val="TableParagraph"/>
              <w:spacing w:line="232" w:lineRule="exact"/>
              <w:ind w:left="-1"/>
            </w:pPr>
            <w:r>
              <w:t>been</w:t>
            </w:r>
            <w:r>
              <w:rPr>
                <w:spacing w:val="-3"/>
              </w:rPr>
              <w:t xml:space="preserve"> </w:t>
            </w:r>
            <w:r>
              <w:t>reduced by</w:t>
            </w:r>
            <w:r>
              <w:rPr>
                <w:spacing w:val="-3"/>
              </w:rPr>
              <w:t xml:space="preserve"> </w:t>
            </w:r>
            <w:r>
              <w:t>30 days.</w:t>
            </w:r>
          </w:p>
        </w:tc>
      </w:tr>
      <w:tr w:rsidR="00CF6B8C" w14:paraId="4A6B4151" w14:textId="77777777">
        <w:trPr>
          <w:trHeight w:val="2531"/>
        </w:trPr>
        <w:tc>
          <w:tcPr>
            <w:tcW w:w="149" w:type="dxa"/>
          </w:tcPr>
          <w:p w14:paraId="4A6B414A" w14:textId="77777777" w:rsidR="00CF6B8C" w:rsidRDefault="00EB66B7">
            <w:pPr>
              <w:pStyle w:val="TableParagraph"/>
              <w:ind w:left="18" w:right="-15"/>
              <w:jc w:val="center"/>
            </w:pPr>
            <w:r>
              <w:t>3</w:t>
            </w:r>
          </w:p>
        </w:tc>
        <w:tc>
          <w:tcPr>
            <w:tcW w:w="1306" w:type="dxa"/>
          </w:tcPr>
          <w:p w14:paraId="4A6B414B" w14:textId="77777777" w:rsidR="00CF6B8C" w:rsidRDefault="00EB66B7">
            <w:pPr>
              <w:pStyle w:val="TableParagraph"/>
              <w:ind w:left="107" w:right="136"/>
              <w:jc w:val="both"/>
            </w:pPr>
            <w:r>
              <w:t>Suspension</w:t>
            </w:r>
            <w:r>
              <w:rPr>
                <w:spacing w:val="-53"/>
              </w:rPr>
              <w:t xml:space="preserve"> </w:t>
            </w:r>
            <w:r>
              <w:t>less than 30</w:t>
            </w:r>
            <w:r>
              <w:rPr>
                <w:spacing w:val="-52"/>
              </w:rPr>
              <w:t xml:space="preserve"> </w:t>
            </w:r>
            <w:r>
              <w:t>days</w:t>
            </w:r>
          </w:p>
        </w:tc>
        <w:tc>
          <w:tcPr>
            <w:tcW w:w="1416" w:type="dxa"/>
          </w:tcPr>
          <w:p w14:paraId="4A6B414C" w14:textId="77777777" w:rsidR="00CF6B8C" w:rsidRDefault="00EB66B7">
            <w:pPr>
              <w:pStyle w:val="TableParagraph"/>
              <w:ind w:left="106"/>
            </w:pPr>
            <w:r>
              <w:t>add 30 days</w:t>
            </w:r>
          </w:p>
        </w:tc>
        <w:tc>
          <w:tcPr>
            <w:tcW w:w="1351" w:type="dxa"/>
          </w:tcPr>
          <w:p w14:paraId="4A6B414D" w14:textId="77777777" w:rsidR="00CF6B8C" w:rsidRDefault="00EB66B7">
            <w:pPr>
              <w:pStyle w:val="TableParagraph"/>
              <w:ind w:left="106" w:right="343"/>
            </w:pPr>
            <w:r>
              <w:t>reduce 30</w:t>
            </w:r>
            <w:r>
              <w:rPr>
                <w:spacing w:val="-52"/>
              </w:rPr>
              <w:t xml:space="preserve"> </w:t>
            </w:r>
            <w:r>
              <w:t>days</w:t>
            </w:r>
          </w:p>
        </w:tc>
        <w:tc>
          <w:tcPr>
            <w:tcW w:w="1531" w:type="dxa"/>
          </w:tcPr>
          <w:p w14:paraId="4A6B414E" w14:textId="77777777" w:rsidR="00CF6B8C" w:rsidRDefault="00EB66B7">
            <w:pPr>
              <w:pStyle w:val="TableParagraph"/>
              <w:ind w:left="104"/>
            </w:pPr>
            <w:r>
              <w:t>Liquidation</w:t>
            </w:r>
          </w:p>
        </w:tc>
        <w:tc>
          <w:tcPr>
            <w:tcW w:w="3588" w:type="dxa"/>
          </w:tcPr>
          <w:p w14:paraId="4A6B414F" w14:textId="77777777" w:rsidR="00CF6B8C" w:rsidRDefault="00EB66B7">
            <w:pPr>
              <w:pStyle w:val="TableParagraph"/>
              <w:ind w:left="-1" w:right="43"/>
            </w:pPr>
            <w:r>
              <w:t>These grants have gone through a 90</w:t>
            </w:r>
            <w:r>
              <w:rPr>
                <w:spacing w:val="1"/>
              </w:rPr>
              <w:t xml:space="preserve"> </w:t>
            </w:r>
            <w:r>
              <w:t>day liquidation period but have either</w:t>
            </w:r>
            <w:r>
              <w:rPr>
                <w:spacing w:val="1"/>
              </w:rPr>
              <w:t xml:space="preserve"> </w:t>
            </w:r>
            <w:r>
              <w:t>not liquidated funds and/or not</w:t>
            </w:r>
            <w:r>
              <w:rPr>
                <w:spacing w:val="1"/>
              </w:rPr>
              <w:t xml:space="preserve"> </w:t>
            </w:r>
            <w:r>
              <w:t>submitted required reports; therefore,</w:t>
            </w:r>
            <w:r>
              <w:rPr>
                <w:spacing w:val="1"/>
              </w:rPr>
              <w:t xml:space="preserve"> </w:t>
            </w:r>
            <w:r>
              <w:t>the grants have recently moved (in the</w:t>
            </w:r>
            <w:r>
              <w:rPr>
                <w:spacing w:val="1"/>
              </w:rPr>
              <w:t xml:space="preserve"> </w:t>
            </w:r>
            <w:r>
              <w:t>first 30 days) to the 6 month suspension</w:t>
            </w:r>
            <w:r>
              <w:rPr>
                <w:spacing w:val="-52"/>
              </w:rPr>
              <w:t xml:space="preserve"> </w:t>
            </w:r>
            <w:r>
              <w:t>period.</w:t>
            </w:r>
            <w:r>
              <w:rPr>
                <w:spacing w:val="1"/>
              </w:rPr>
              <w:t xml:space="preserve"> </w:t>
            </w:r>
            <w:r>
              <w:t>The grants are still a</w:t>
            </w:r>
            <w:r>
              <w:t>ble to</w:t>
            </w:r>
            <w:r>
              <w:rPr>
                <w:spacing w:val="1"/>
              </w:rPr>
              <w:t xml:space="preserve"> </w:t>
            </w:r>
            <w:r>
              <w:t>access their funds, but only with the</w:t>
            </w:r>
            <w:r>
              <w:rPr>
                <w:spacing w:val="1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4A6B4150" w14:textId="77777777" w:rsidR="00CF6B8C" w:rsidRDefault="00EB66B7">
            <w:pPr>
              <w:pStyle w:val="TableParagraph"/>
              <w:spacing w:line="234" w:lineRule="exact"/>
              <w:ind w:left="-1"/>
            </w:pP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still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submitted.</w:t>
            </w:r>
          </w:p>
        </w:tc>
      </w:tr>
      <w:tr w:rsidR="00CF6B8C" w14:paraId="4A6B4159" w14:textId="77777777">
        <w:trPr>
          <w:trHeight w:val="4806"/>
        </w:trPr>
        <w:tc>
          <w:tcPr>
            <w:tcW w:w="149" w:type="dxa"/>
          </w:tcPr>
          <w:p w14:paraId="4A6B4152" w14:textId="77777777" w:rsidR="00CF6B8C" w:rsidRDefault="00EB66B7">
            <w:pPr>
              <w:pStyle w:val="TableParagraph"/>
              <w:spacing w:line="251" w:lineRule="exact"/>
              <w:ind w:left="18" w:right="-15"/>
              <w:jc w:val="center"/>
            </w:pPr>
            <w:r>
              <w:t>4</w:t>
            </w:r>
          </w:p>
        </w:tc>
        <w:tc>
          <w:tcPr>
            <w:tcW w:w="1306" w:type="dxa"/>
          </w:tcPr>
          <w:p w14:paraId="4A6B4153" w14:textId="77777777" w:rsidR="00CF6B8C" w:rsidRDefault="00EB66B7">
            <w:pPr>
              <w:pStyle w:val="TableParagraph"/>
              <w:ind w:left="107" w:right="156"/>
            </w:pPr>
            <w:r>
              <w:t>Suspension</w:t>
            </w:r>
            <w:r>
              <w:rPr>
                <w:spacing w:val="-52"/>
              </w:rPr>
              <w:t xml:space="preserve"> </w:t>
            </w:r>
            <w:r>
              <w:t>30 days or</w:t>
            </w:r>
            <w:r>
              <w:rPr>
                <w:spacing w:val="1"/>
              </w:rPr>
              <w:t xml:space="preserve"> </w:t>
            </w:r>
            <w:r>
              <w:t>over</w:t>
            </w:r>
          </w:p>
        </w:tc>
        <w:tc>
          <w:tcPr>
            <w:tcW w:w="1416" w:type="dxa"/>
          </w:tcPr>
          <w:p w14:paraId="4A6B4154" w14:textId="77777777" w:rsidR="00CF6B8C" w:rsidRDefault="00EB66B7">
            <w:pPr>
              <w:pStyle w:val="TableParagraph"/>
              <w:spacing w:line="251" w:lineRule="exact"/>
              <w:ind w:left="106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action</w:t>
            </w:r>
          </w:p>
        </w:tc>
        <w:tc>
          <w:tcPr>
            <w:tcW w:w="1351" w:type="dxa"/>
          </w:tcPr>
          <w:p w14:paraId="4A6B4155" w14:textId="77777777" w:rsidR="00CF6B8C" w:rsidRDefault="00EB66B7">
            <w:pPr>
              <w:pStyle w:val="TableParagraph"/>
              <w:spacing w:line="251" w:lineRule="exact"/>
              <w:ind w:left="106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action</w:t>
            </w:r>
          </w:p>
        </w:tc>
        <w:tc>
          <w:tcPr>
            <w:tcW w:w="1531" w:type="dxa"/>
          </w:tcPr>
          <w:p w14:paraId="4A6B4156" w14:textId="77777777" w:rsidR="00CF6B8C" w:rsidRDefault="00EB66B7">
            <w:pPr>
              <w:pStyle w:val="TableParagraph"/>
              <w:spacing w:line="251" w:lineRule="exact"/>
              <w:ind w:left="104"/>
            </w:pPr>
            <w:r>
              <w:t>Suspension</w:t>
            </w:r>
          </w:p>
        </w:tc>
        <w:tc>
          <w:tcPr>
            <w:tcW w:w="3588" w:type="dxa"/>
          </w:tcPr>
          <w:p w14:paraId="4A6B4157" w14:textId="77777777" w:rsidR="00CF6B8C" w:rsidRDefault="00EB66B7">
            <w:pPr>
              <w:pStyle w:val="TableParagraph"/>
              <w:ind w:left="-1" w:right="26"/>
            </w:pPr>
            <w:r>
              <w:t>These grants have gone through a 90</w:t>
            </w:r>
            <w:r>
              <w:rPr>
                <w:spacing w:val="1"/>
              </w:rPr>
              <w:t xml:space="preserve"> </w:t>
            </w:r>
            <w:r>
              <w:t>day liquidation period, but have either</w:t>
            </w:r>
            <w:r>
              <w:rPr>
                <w:spacing w:val="1"/>
              </w:rPr>
              <w:t xml:space="preserve"> </w:t>
            </w:r>
            <w:r>
              <w:t>not liquidated grant funds and/or not</w:t>
            </w:r>
            <w:r>
              <w:rPr>
                <w:spacing w:val="1"/>
              </w:rPr>
              <w:t xml:space="preserve"> </w:t>
            </w:r>
            <w:r>
              <w:t>submitted required reports; therefore,</w:t>
            </w:r>
            <w:r>
              <w:rPr>
                <w:spacing w:val="1"/>
              </w:rPr>
              <w:t xml:space="preserve"> </w:t>
            </w:r>
            <w:r>
              <w:t>they were moved to suspension status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have</w:t>
            </w:r>
            <w:r>
              <w:rPr>
                <w:spacing w:val="7"/>
              </w:rPr>
              <w:t xml:space="preserve"> </w:t>
            </w:r>
            <w:r>
              <w:t>remained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month</w:t>
            </w:r>
            <w:r>
              <w:rPr>
                <w:spacing w:val="7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more.</w:t>
            </w:r>
            <w:r>
              <w:rPr>
                <w:spacing w:val="1"/>
              </w:rPr>
              <w:t xml:space="preserve"> </w:t>
            </w:r>
            <w:r>
              <w:t>By being in suspension status for</w:t>
            </w:r>
            <w:r>
              <w:rPr>
                <w:spacing w:val="-52"/>
              </w:rPr>
              <w:t xml:space="preserve"> </w:t>
            </w:r>
            <w:r>
              <w:t>more than 30 days these grants, by</w:t>
            </w:r>
            <w:r>
              <w:rPr>
                <w:spacing w:val="1"/>
              </w:rPr>
              <w:t xml:space="preserve"> </w:t>
            </w:r>
            <w:r>
              <w:t>default, have had 120 days or more to</w:t>
            </w:r>
            <w:r>
              <w:rPr>
                <w:spacing w:val="1"/>
              </w:rPr>
              <w:t xml:space="preserve"> </w:t>
            </w:r>
            <w:r>
              <w:t>liquidate funds and/or submit their</w:t>
            </w:r>
            <w:r>
              <w:rPr>
                <w:spacing w:val="1"/>
              </w:rPr>
              <w:t xml:space="preserve"> </w:t>
            </w:r>
            <w:r>
              <w:t>reports but have not complied. These</w:t>
            </w:r>
            <w:r>
              <w:rPr>
                <w:spacing w:val="1"/>
              </w:rPr>
              <w:t xml:space="preserve"> </w:t>
            </w:r>
            <w:r>
              <w:t>grants will not be moved back to</w:t>
            </w:r>
            <w:r>
              <w:rPr>
                <w:spacing w:val="1"/>
              </w:rPr>
              <w:t xml:space="preserve"> </w:t>
            </w:r>
            <w:r>
              <w:t>liquidation, since the grants, by default,</w:t>
            </w:r>
            <w:r>
              <w:rPr>
                <w:spacing w:val="1"/>
              </w:rPr>
              <w:t xml:space="preserve"> </w:t>
            </w:r>
            <w:r>
              <w:t>have had 120 days or more to comply</w:t>
            </w:r>
            <w:r>
              <w:rPr>
                <w:spacing w:val="1"/>
              </w:rPr>
              <w:t xml:space="preserve"> </w:t>
            </w:r>
            <w:r>
              <w:t>with the grant closeout requirements of</w:t>
            </w:r>
            <w:r>
              <w:rPr>
                <w:spacing w:val="1"/>
              </w:rPr>
              <w:t xml:space="preserve"> </w:t>
            </w:r>
            <w:r>
              <w:t>liquidating grant funds and/or</w:t>
            </w:r>
            <w:r>
              <w:rPr>
                <w:spacing w:val="1"/>
              </w:rPr>
              <w:t xml:space="preserve"> </w:t>
            </w:r>
            <w:r>
              <w:t>submitting reports.</w:t>
            </w:r>
            <w:r>
              <w:rPr>
                <w:spacing w:val="1"/>
              </w:rPr>
              <w:t xml:space="preserve"> </w:t>
            </w:r>
            <w:r>
              <w:t>These grants should</w:t>
            </w:r>
            <w:r>
              <w:rPr>
                <w:spacing w:val="-52"/>
              </w:rPr>
              <w:t xml:space="preserve"> </w:t>
            </w:r>
            <w:r>
              <w:t>remain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suspension status</w:t>
            </w:r>
            <w:r>
              <w:rPr>
                <w:spacing w:val="-2"/>
              </w:rPr>
              <w:t xml:space="preserve"> </w:t>
            </w:r>
            <w:r>
              <w:t>and proceed</w:t>
            </w:r>
          </w:p>
          <w:p w14:paraId="4A6B4158" w14:textId="77777777" w:rsidR="00CF6B8C" w:rsidRDefault="00EB66B7">
            <w:pPr>
              <w:pStyle w:val="TableParagraph"/>
              <w:spacing w:line="233" w:lineRule="exact"/>
              <w:ind w:left="-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the next phase,</w:t>
            </w:r>
            <w:r>
              <w:rPr>
                <w:spacing w:val="-3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Closeout.</w:t>
            </w:r>
          </w:p>
        </w:tc>
      </w:tr>
    </w:tbl>
    <w:p w14:paraId="4A6B415A" w14:textId="77777777" w:rsidR="00000000" w:rsidRDefault="00EB66B7"/>
    <w:sectPr w:rsidR="00000000">
      <w:pgSz w:w="12240" w:h="15840"/>
      <w:pgMar w:top="1360" w:right="1300" w:bottom="1200" w:left="13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4164" w14:textId="77777777" w:rsidR="00000000" w:rsidRDefault="00EB66B7">
      <w:r>
        <w:separator/>
      </w:r>
    </w:p>
  </w:endnote>
  <w:endnote w:type="continuationSeparator" w:id="0">
    <w:p w14:paraId="4A6B4166" w14:textId="77777777" w:rsidR="00000000" w:rsidRDefault="00EB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415F" w14:textId="6181A9D0" w:rsidR="00CF6B8C" w:rsidRDefault="00EB66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6B4160" wp14:editId="4F82A1B0">
              <wp:simplePos x="0" y="0"/>
              <wp:positionH relativeFrom="page">
                <wp:posOffset>3813175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B4161" w14:textId="77777777" w:rsidR="00CF6B8C" w:rsidRDefault="00EB66B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B4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73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" filled="f" stroked="f">
              <v:textbox inset="0,0,0,0">
                <w:txbxContent>
                  <w:p w14:paraId="4A6B4161" w14:textId="77777777" w:rsidR="00CF6B8C" w:rsidRDefault="00EB66B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4160" w14:textId="77777777" w:rsidR="00000000" w:rsidRDefault="00EB66B7">
      <w:r>
        <w:separator/>
      </w:r>
    </w:p>
  </w:footnote>
  <w:footnote w:type="continuationSeparator" w:id="0">
    <w:p w14:paraId="4A6B4162" w14:textId="77777777" w:rsidR="00000000" w:rsidRDefault="00EB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D22"/>
    <w:multiLevelType w:val="hybridMultilevel"/>
    <w:tmpl w:val="262E1298"/>
    <w:lvl w:ilvl="0" w:tplc="CD88864C">
      <w:start w:val="1"/>
      <w:numFmt w:val="decimal"/>
      <w:lvlText w:val="%1."/>
      <w:lvlJc w:val="left"/>
      <w:pPr>
        <w:ind w:left="8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E2903A">
      <w:numFmt w:val="bullet"/>
      <w:lvlText w:val="•"/>
      <w:lvlJc w:val="left"/>
      <w:pPr>
        <w:ind w:left="1738" w:hanging="540"/>
      </w:pPr>
      <w:rPr>
        <w:rFonts w:hint="default"/>
        <w:lang w:val="en-US" w:eastAsia="en-US" w:bidi="ar-SA"/>
      </w:rPr>
    </w:lvl>
    <w:lvl w:ilvl="2" w:tplc="817CCFFA">
      <w:numFmt w:val="bullet"/>
      <w:lvlText w:val="•"/>
      <w:lvlJc w:val="left"/>
      <w:pPr>
        <w:ind w:left="2616" w:hanging="540"/>
      </w:pPr>
      <w:rPr>
        <w:rFonts w:hint="default"/>
        <w:lang w:val="en-US" w:eastAsia="en-US" w:bidi="ar-SA"/>
      </w:rPr>
    </w:lvl>
    <w:lvl w:ilvl="3" w:tplc="69F672A6">
      <w:numFmt w:val="bullet"/>
      <w:lvlText w:val="•"/>
      <w:lvlJc w:val="left"/>
      <w:pPr>
        <w:ind w:left="3494" w:hanging="540"/>
      </w:pPr>
      <w:rPr>
        <w:rFonts w:hint="default"/>
        <w:lang w:val="en-US" w:eastAsia="en-US" w:bidi="ar-SA"/>
      </w:rPr>
    </w:lvl>
    <w:lvl w:ilvl="4" w:tplc="DBE8E4DA">
      <w:numFmt w:val="bullet"/>
      <w:lvlText w:val="•"/>
      <w:lvlJc w:val="left"/>
      <w:pPr>
        <w:ind w:left="4372" w:hanging="540"/>
      </w:pPr>
      <w:rPr>
        <w:rFonts w:hint="default"/>
        <w:lang w:val="en-US" w:eastAsia="en-US" w:bidi="ar-SA"/>
      </w:rPr>
    </w:lvl>
    <w:lvl w:ilvl="5" w:tplc="FE04A738">
      <w:numFmt w:val="bullet"/>
      <w:lvlText w:val="•"/>
      <w:lvlJc w:val="left"/>
      <w:pPr>
        <w:ind w:left="5250" w:hanging="540"/>
      </w:pPr>
      <w:rPr>
        <w:rFonts w:hint="default"/>
        <w:lang w:val="en-US" w:eastAsia="en-US" w:bidi="ar-SA"/>
      </w:rPr>
    </w:lvl>
    <w:lvl w:ilvl="6" w:tplc="80AA5DC2">
      <w:numFmt w:val="bullet"/>
      <w:lvlText w:val="•"/>
      <w:lvlJc w:val="left"/>
      <w:pPr>
        <w:ind w:left="6128" w:hanging="540"/>
      </w:pPr>
      <w:rPr>
        <w:rFonts w:hint="default"/>
        <w:lang w:val="en-US" w:eastAsia="en-US" w:bidi="ar-SA"/>
      </w:rPr>
    </w:lvl>
    <w:lvl w:ilvl="7" w:tplc="3AAEAEFC">
      <w:numFmt w:val="bullet"/>
      <w:lvlText w:val="•"/>
      <w:lvlJc w:val="left"/>
      <w:pPr>
        <w:ind w:left="7006" w:hanging="540"/>
      </w:pPr>
      <w:rPr>
        <w:rFonts w:hint="default"/>
        <w:lang w:val="en-US" w:eastAsia="en-US" w:bidi="ar-SA"/>
      </w:rPr>
    </w:lvl>
    <w:lvl w:ilvl="8" w:tplc="7DD6EFAE">
      <w:numFmt w:val="bullet"/>
      <w:lvlText w:val="•"/>
      <w:lvlJc w:val="left"/>
      <w:pPr>
        <w:ind w:left="7884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32244E20"/>
    <w:multiLevelType w:val="hybridMultilevel"/>
    <w:tmpl w:val="E2D0C40C"/>
    <w:lvl w:ilvl="0" w:tplc="8E9682BE">
      <w:start w:val="1"/>
      <w:numFmt w:val="decimal"/>
      <w:lvlText w:val="%1."/>
      <w:lvlJc w:val="left"/>
      <w:pPr>
        <w:ind w:left="8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56BF6E">
      <w:numFmt w:val="bullet"/>
      <w:lvlText w:val="•"/>
      <w:lvlJc w:val="left"/>
      <w:pPr>
        <w:ind w:left="1738" w:hanging="540"/>
      </w:pPr>
      <w:rPr>
        <w:rFonts w:hint="default"/>
        <w:lang w:val="en-US" w:eastAsia="en-US" w:bidi="ar-SA"/>
      </w:rPr>
    </w:lvl>
    <w:lvl w:ilvl="2" w:tplc="9A866F98">
      <w:numFmt w:val="bullet"/>
      <w:lvlText w:val="•"/>
      <w:lvlJc w:val="left"/>
      <w:pPr>
        <w:ind w:left="2616" w:hanging="540"/>
      </w:pPr>
      <w:rPr>
        <w:rFonts w:hint="default"/>
        <w:lang w:val="en-US" w:eastAsia="en-US" w:bidi="ar-SA"/>
      </w:rPr>
    </w:lvl>
    <w:lvl w:ilvl="3" w:tplc="8D0EFB1A">
      <w:numFmt w:val="bullet"/>
      <w:lvlText w:val="•"/>
      <w:lvlJc w:val="left"/>
      <w:pPr>
        <w:ind w:left="3494" w:hanging="540"/>
      </w:pPr>
      <w:rPr>
        <w:rFonts w:hint="default"/>
        <w:lang w:val="en-US" w:eastAsia="en-US" w:bidi="ar-SA"/>
      </w:rPr>
    </w:lvl>
    <w:lvl w:ilvl="4" w:tplc="B53095C2">
      <w:numFmt w:val="bullet"/>
      <w:lvlText w:val="•"/>
      <w:lvlJc w:val="left"/>
      <w:pPr>
        <w:ind w:left="4372" w:hanging="540"/>
      </w:pPr>
      <w:rPr>
        <w:rFonts w:hint="default"/>
        <w:lang w:val="en-US" w:eastAsia="en-US" w:bidi="ar-SA"/>
      </w:rPr>
    </w:lvl>
    <w:lvl w:ilvl="5" w:tplc="CED8D786">
      <w:numFmt w:val="bullet"/>
      <w:lvlText w:val="•"/>
      <w:lvlJc w:val="left"/>
      <w:pPr>
        <w:ind w:left="5250" w:hanging="540"/>
      </w:pPr>
      <w:rPr>
        <w:rFonts w:hint="default"/>
        <w:lang w:val="en-US" w:eastAsia="en-US" w:bidi="ar-SA"/>
      </w:rPr>
    </w:lvl>
    <w:lvl w:ilvl="6" w:tplc="AD8C7E64">
      <w:numFmt w:val="bullet"/>
      <w:lvlText w:val="•"/>
      <w:lvlJc w:val="left"/>
      <w:pPr>
        <w:ind w:left="6128" w:hanging="540"/>
      </w:pPr>
      <w:rPr>
        <w:rFonts w:hint="default"/>
        <w:lang w:val="en-US" w:eastAsia="en-US" w:bidi="ar-SA"/>
      </w:rPr>
    </w:lvl>
    <w:lvl w:ilvl="7" w:tplc="3B9C334C">
      <w:numFmt w:val="bullet"/>
      <w:lvlText w:val="•"/>
      <w:lvlJc w:val="left"/>
      <w:pPr>
        <w:ind w:left="7006" w:hanging="540"/>
      </w:pPr>
      <w:rPr>
        <w:rFonts w:hint="default"/>
        <w:lang w:val="en-US" w:eastAsia="en-US" w:bidi="ar-SA"/>
      </w:rPr>
    </w:lvl>
    <w:lvl w:ilvl="8" w:tplc="3DDEBD3C">
      <w:numFmt w:val="bullet"/>
      <w:lvlText w:val="•"/>
      <w:lvlJc w:val="left"/>
      <w:pPr>
        <w:ind w:left="7884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8C"/>
    <w:rsid w:val="00CF6B8C"/>
    <w:rsid w:val="00E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6B40D8"/>
  <w15:docId w15:val="{DB6F9B1C-CAF9-408F-8F1F-3DC8338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3944" w:right="2445" w:hanging="149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right="147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fr.gov/cgi-bin/text-idx?SID=49b2e2150d661d8e5b3adddaf3f7ab66&amp;mc=true&amp;node=se2.1.200_1344&amp;rgn=div8" TargetMode="External"/><Relationship Id="rId18" Type="http://schemas.openxmlformats.org/officeDocument/2006/relationships/hyperlink" Target="https://www.federalregister.gov/documents/2021/02/22/2021-02969/guidance-for-grants-and-agreements" TargetMode="External"/><Relationship Id="rId26" Type="http://schemas.openxmlformats.org/officeDocument/2006/relationships/hyperlink" Target="https://www.ecfr.gov/cgi-bin/text-idx?SID=49b2e2150d661d8e5b3adddaf3f7ab66&amp;mc=true&amp;node=se2.1.200_1344&amp;rgn=div8" TargetMode="External"/><Relationship Id="rId21" Type="http://schemas.openxmlformats.org/officeDocument/2006/relationships/hyperlink" Target="https://connected.ed.gov/Documents/Late_Liquidations_of_State_Administered_Formula_Grants.pdf" TargetMode="External"/><Relationship Id="rId34" Type="http://schemas.openxmlformats.org/officeDocument/2006/relationships/hyperlink" Target="https://connected.ed.gov/Pages/OGA-GPTD%20Grant%20Policy%20Liaisons%20to%20PO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ecfr.gov/cgi-bin/text-idx?SID=49b2e2150d661d8e5b3adddaf3f7ab66&amp;mc=true&amp;node=se2.1.200_1344&amp;rgn=div8" TargetMode="External"/><Relationship Id="rId25" Type="http://schemas.openxmlformats.org/officeDocument/2006/relationships/hyperlink" Target="https://www.ecfr.gov/cgi-bin/text-idx?SID=5f5b66be9f8d50273570593ada0c7570&amp;mc=true&amp;node=pt34.1.81&amp;rgn=div5" TargetMode="External"/><Relationship Id="rId33" Type="http://schemas.openxmlformats.org/officeDocument/2006/relationships/hyperlink" Target="https://connected.ed.gov/Pages/OGA-GPTD%20Grant%20Policy%20Liaisons%20to%20PO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gi-bin/text-idx?SID=49b2e2150d661d8e5b3adddaf3f7ab66&amp;mc=true&amp;node=se2.1.200_1344&amp;rgn=div8" TargetMode="External"/><Relationship Id="rId20" Type="http://schemas.openxmlformats.org/officeDocument/2006/relationships/hyperlink" Target="https://www.ecfr.gov/cgi-bin/text-idx?SID=49b2e2150d661d8e5b3adddaf3f7ab66&amp;mc=true&amp;node=se2.1.200_1344&amp;rgn=div8" TargetMode="External"/><Relationship Id="rId29" Type="http://schemas.openxmlformats.org/officeDocument/2006/relationships/hyperlink" Target="https://www.ecfr.gov/cgi-bin/text-idx?SID=cb923ccef731ab3021d3a0e2a1602b22&amp;mc=true&amp;node=se2.1.200_1339&amp;rgn=div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cfr.gov/cgi-bin/text-idx?SID=5f5b66be9f8d50273570593ada0c7570&amp;mc=true&amp;node=pt34.1.81&amp;rgn=div5" TargetMode="External"/><Relationship Id="rId32" Type="http://schemas.openxmlformats.org/officeDocument/2006/relationships/hyperlink" Target="https://share.ed.gov/teams/grants/formula/Pages/Closeout.aspx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ederalregister.gov/documents/2020/08/13/2020-17468/guidance-for-grants-and-agreements" TargetMode="External"/><Relationship Id="rId23" Type="http://schemas.openxmlformats.org/officeDocument/2006/relationships/hyperlink" Target="https://www.govinfo.gov/content/pkg/COMPS-732/pdf/COMPS-732.pdf" TargetMode="External"/><Relationship Id="rId28" Type="http://schemas.openxmlformats.org/officeDocument/2006/relationships/hyperlink" Target="https://share.ed.gov/teams/grants/disc/Pages/FAPIIS%20-%20Application%20Review.aspx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s://share.ed.gov/teams/grants/disc/Pages/Closeou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fr.gov/cgi-bin/text-idx?SID=49b2e2150d661d8e5b3adddaf3f7ab66&amp;mc=true&amp;node=se2.1.200_1344&amp;rgn=div8" TargetMode="External"/><Relationship Id="rId22" Type="http://schemas.openxmlformats.org/officeDocument/2006/relationships/hyperlink" Target="https://www.ecfr.gov/cgi-bin/text-idx?SID=cb923ccef731ab3021d3a0e2a1602b22&amp;mc=true&amp;node=se2.1.200_1346&amp;rgn=div8" TargetMode="External"/><Relationship Id="rId27" Type="http://schemas.openxmlformats.org/officeDocument/2006/relationships/hyperlink" Target="https://www.ecfr.gov/cgi-bin/text-idx?SID=49b2e2150d661d8e5b3adddaf3f7ab66&amp;mc=true&amp;node=se2.1.200_1344&amp;rgn=div8" TargetMode="External"/><Relationship Id="rId30" Type="http://schemas.openxmlformats.org/officeDocument/2006/relationships/hyperlink" Target="https://connected.ed.gov/Documents/Late_Liquidations_of_State_Administered_Formula_Grants.pdf" TargetMode="External"/><Relationship Id="rId35" Type="http://schemas.openxmlformats.org/officeDocument/2006/relationships/hyperlink" Target="mailto:ayisa.crowe@ed.gov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connectED Document</p:Name>
  <p:Description/>
  <p:Statement/>
  <p:PolicyItems>
    <p:PolicyItem featureId="Microsoft.Office.RecordsManagement.PolicyFeatures.Expiration" staticId="0x0101001C22A2B9DBEDBB4DB130C1FAF5F2F008|-874002092" UniqueId="0fae6539-edc3-4ab3-8e8f-b5c6070e3d4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ContentReviewDate</property>
                  <propertyId>e73c04b4-25ca-454b-b674-82c4e4755cf8</propertyId>
                  <period>days</period>
                </formula>
                <action type="workflow" id="811c551f-2677-4615-9d60-3cd319e69d05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nectED Document" ma:contentTypeID="0x0101001C22A2B9DBEDBB4DB130C1FAF5F2F008005B9DEC00993488418926717A1D7793B2" ma:contentTypeVersion="265" ma:contentTypeDescription="" ma:contentTypeScope="" ma:versionID="31c97ffe9458fb55ee29a42a18dd50bb">
  <xsd:schema xmlns:xsd="http://www.w3.org/2001/XMLSchema" xmlns:xs="http://www.w3.org/2001/XMLSchema" xmlns:p="http://schemas.microsoft.com/office/2006/metadata/properties" xmlns:ns1="http://schemas.microsoft.com/sharepoint/v3" xmlns:ns2="14f58531-a34f-43cb-b97b-60a4b8e60023" targetNamespace="http://schemas.microsoft.com/office/2006/metadata/properties" ma:root="true" ma:fieldsID="7458c35b3ad833344ff546d5fff4ef9c" ns1:_="" ns2:_="">
    <xsd:import namespace="http://schemas.microsoft.com/sharepoint/v3"/>
    <xsd:import namespace="14f58531-a34f-43cb-b97b-60a4b8e60023"/>
    <xsd:element name="properties">
      <xsd:complexType>
        <xsd:sequence>
          <xsd:element name="documentManagement">
            <xsd:complexType>
              <xsd:all>
                <xsd:element ref="ns2:LeadIn"/>
                <xsd:element ref="ns1:PublishingStartDate" minOccurs="0"/>
                <xsd:element ref="ns2:ContentReviewDate"/>
                <xsd:element ref="ns1:PublishingExpirationDate" minOccurs="0"/>
                <xsd:element ref="ns1:PublishingContact" minOccurs="0"/>
                <xsd:element ref="ns2:Content508Compliant"/>
                <xsd:element ref="ns2:Archive" minOccurs="0"/>
                <xsd:element ref="ns2:_dlc_DocIdPersistId" minOccurs="0"/>
                <xsd:element ref="ns2:hebfa55e97a440a4b0b631fde26adccc" minOccurs="0"/>
                <xsd:element ref="ns2:TaxCatchAll" minOccurs="0"/>
                <xsd:element ref="ns2:TaxCatchAllLabel" minOccurs="0"/>
                <xsd:element ref="ns2:ContentStatus" minOccurs="0"/>
                <xsd:element ref="ns2:ContentDisplayOrder" minOccurs="0"/>
                <xsd:element ref="ns1:_dlc_ExpireDateSaved" minOccurs="0"/>
                <xsd:element ref="ns1:_dlc_ExpireDate" minOccurs="0"/>
                <xsd:element ref="ns2:_dlc_DocId" minOccurs="0"/>
                <xsd:element ref="ns1:URL" minOccurs="0"/>
                <xsd:element ref="ns2:_dlc_DocIdUrl" minOccurs="0"/>
                <xsd:element ref="ns2:i9ab4d0357c04776b400b9805696f9b5" minOccurs="0"/>
                <xsd:element ref="ns2:l08bc5eda453452bb48ea35ca61d4e33" minOccurs="0"/>
                <xsd:element ref="ns2:ncaf0338309d44939a561ea6e1d3dda9" minOccurs="0"/>
                <xsd:element ref="ns2:ida0f8b217f94daa82dc4eea35819a07" minOccurs="0"/>
                <xsd:element ref="ns2:ContentIsFeatured" minOccurs="0"/>
                <xsd:element ref="ns2:naff5b59156a4da596b561dfa138aba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dexed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URL" ma:index="27" nillable="true" ma:displayName="URL" ma:description="The Description is the hyperlinked word or phrase the user will see in the browser." ma:format="Hyperlink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8531-a34f-43cb-b97b-60a4b8e60023" elementFormDefault="qualified">
    <xsd:import namespace="http://schemas.microsoft.com/office/2006/documentManagement/types"/>
    <xsd:import namespace="http://schemas.microsoft.com/office/infopath/2007/PartnerControls"/>
    <xsd:element name="LeadIn" ma:index="2" ma:displayName="Lead In" ma:description="Short description of content 255 character limit." ma:internalName="LeadIn" ma:readOnly="false">
      <xsd:simpleType>
        <xsd:restriction base="dms:Note">
          <xsd:maxLength value="255"/>
        </xsd:restriction>
      </xsd:simpleType>
    </xsd:element>
    <xsd:element name="ContentReviewDate" ma:index="9" ma:displayName="Review Date" ma:description="Default review date is 6 months from today; can be set up to one year from today." ma:format="DateOnly" ma:internalName="ContentReviewDate">
      <xsd:simpleType>
        <xsd:restriction base="dms:DateTime"/>
      </xsd:simpleType>
    </xsd:element>
    <xsd:element name="Content508Compliant" ma:index="12" ma:displayName="508 Compliance Check" ma:description="508 Compliance Check" ma:format="RadioButtons" ma:internalName="Content508Compliant">
      <xsd:simpleType>
        <xsd:restriction base="dms:Choice">
          <xsd:enumeration value="I confirm that this content is accessible"/>
          <xsd:enumeration value="This content is not fully accessible, but an accessible alternative has been provided"/>
        </xsd:restriction>
      </xsd:simpleType>
    </xsd:element>
    <xsd:element name="Archive" ma:index="14" nillable="true" ma:displayName="Send To Archive" ma:default="0" ma:internalName="Archive">
      <xsd:simpleType>
        <xsd:restriction base="dms:Boolean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bfa55e97a440a4b0b631fde26adccc" ma:index="17" nillable="true" ma:taxonomy="true" ma:internalName="hebfa55e97a440a4b0b631fde26adccc" ma:taxonomyFieldName="ContentOffice" ma:displayName="Sponsoring Office" ma:readOnly="false" ma:default="" ma:fieldId="{1ebfa55e-97a4-40a4-b0b6-31fde26adccc}" ma:sspId="fc04c30f-b6b4-43b6-b622-0304433ef98f" ma:termSetId="886ef72b-883f-45a9-813e-3facadd84c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ffa46fe2-51e7-455b-8ca3-0f3388df54ba}" ma:internalName="TaxCatchAll" ma:showField="CatchAllData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ffa46fe2-51e7-455b-8ca3-0f3388df54ba}" ma:internalName="TaxCatchAllLabel" ma:readOnly="true" ma:showField="CatchAllDataLabel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Status" ma:index="20" nillable="true" ma:displayName="Content Status" ma:default="Draft" ma:description="Content Status" ma:format="Dropdown" ma:hidden="true" ma:internalName="ContentStatus" ma:readOnly="false">
      <xsd:simpleType>
        <xsd:restriction base="dms:Choice">
          <xsd:enumeration value="Draft"/>
          <xsd:enumeration value="Webmaster Review"/>
          <xsd:enumeration value="CMT Review"/>
          <xsd:enumeration value="Published"/>
          <xsd:enumeration value="Expired"/>
        </xsd:restriction>
      </xsd:simpleType>
    </xsd:element>
    <xsd:element name="ContentDisplayOrder" ma:index="21" nillable="true" ma:displayName="Display Order" ma:decimals="0" ma:default="99" ma:description="Order to display content" ma:hidden="true" ma:internalName="ContentDisplayOrder" ma:readOnly="false" ma:percentage="FALSE">
      <xsd:simpleType>
        <xsd:restriction base="dms:Number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9ab4d0357c04776b400b9805696f9b5" ma:index="30" ma:taxonomy="true" ma:internalName="i9ab4d0357c04776b400b9805696f9b5" ma:taxonomyFieldName="connectED_x0020_Offices" ma:displayName="Principal Office" ma:readOnly="false" ma:default="" ma:fieldId="{29ab4d03-57c0-4776-b400-b9805696f9b5}" ma:sspId="fc04c30f-b6b4-43b6-b622-0304433ef98f" ma:termSetId="886ef72b-883f-45a9-813e-3facadd84c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bc5eda453452bb48ea35ca61d4e33" ma:index="37" nillable="true" ma:taxonomy="true" ma:internalName="l08bc5eda453452bb48ea35ca61d4e33" ma:taxonomyFieldName="Enterprise_x0020_Navigation_x0020_Section" ma:displayName="Navigation Section" ma:readOnly="false" ma:default="" ma:fieldId="{508bc5ed-a453-452b-b48e-a35ca61d4e33}" ma:sspId="fc04c30f-b6b4-43b6-b622-0304433ef98f" ma:termSetId="8b8d31be-49fb-4528-a81b-f9d0bd0f71b9" ma:anchorId="4a9fb99e-b08c-48b0-85c8-dd28d821df86" ma:open="false" ma:isKeyword="false">
      <xsd:complexType>
        <xsd:sequence>
          <xsd:element ref="pc:Terms" minOccurs="0" maxOccurs="1"/>
        </xsd:sequence>
      </xsd:complexType>
    </xsd:element>
    <xsd:element name="ncaf0338309d44939a561ea6e1d3dda9" ma:index="39" nillable="true" ma:taxonomy="true" ma:internalName="ncaf0338309d44939a561ea6e1d3dda9" ma:taxonomyFieldName="Enterprise_x0020_Site_x0020_Category_x002F_Topic" ma:displayName="Sorting Tag" ma:readOnly="false" ma:default="" ma:fieldId="{7caf0338-309d-4493-9a56-1ea6e1d3dda9}" ma:sspId="fc04c30f-b6b4-43b6-b622-0304433ef98f" ma:termSetId="8b8d31be-49fb-4528-a81b-f9d0bd0f71b9" ma:anchorId="121321f4-55b1-4ed1-b27e-095dbbcc2636" ma:open="false" ma:isKeyword="false">
      <xsd:complexType>
        <xsd:sequence>
          <xsd:element ref="pc:Terms" minOccurs="0" maxOccurs="1"/>
        </xsd:sequence>
      </xsd:complexType>
    </xsd:element>
    <xsd:element name="ida0f8b217f94daa82dc4eea35819a07" ma:index="41" ma:taxonomy="true" ma:internalName="ida0f8b217f94daa82dc4eea35819a07" ma:taxonomyFieldName="Navigation_x0020_Category" ma:displayName="Navigation Category" ma:default="" ma:fieldId="{2da0f8b2-17f9-4daa-82dc-4eea35819a07}" ma:taxonomyMulti="true" ma:sspId="fc04c30f-b6b4-43b6-b622-0304433ef98f" ma:termSetId="cf24b94d-30f9-4168-b0bf-a3b56e28d3b8" ma:anchorId="ee6692b8-a42f-4260-bccf-451384b77f1d" ma:open="false" ma:isKeyword="false">
      <xsd:complexType>
        <xsd:sequence>
          <xsd:element ref="pc:Terms" minOccurs="0" maxOccurs="1"/>
        </xsd:sequence>
      </xsd:complexType>
    </xsd:element>
    <xsd:element name="ContentIsFeatured" ma:index="42" nillable="true" ma:displayName="Featured item" ma:default="Yes" ma:description="Should this item be featured on the site home page?  (The 5 most recent featured items will be displayed.)" ma:format="RadioButtons" ma:hidden="true" ma:internalName="ContentIsFeatured" ma:readOnly="false">
      <xsd:simpleType>
        <xsd:restriction base="dms:Choice">
          <xsd:enumeration value="Yes"/>
          <xsd:enumeration value="No"/>
        </xsd:restriction>
      </xsd:simpleType>
    </xsd:element>
    <xsd:element name="naff5b59156a4da596b561dfa138abab" ma:index="43" nillable="true" ma:taxonomy="true" ma:internalName="naff5b59156a4da596b561dfa138abab" ma:taxonomyFieldName="Secondary_x0020_Navigation_x0020_Category" ma:displayName="Secondary Navigation Category" ma:default="" ma:fieldId="{7aff5b59-156a-4da5-96b5-61dfa138abab}" ma:sspId="fc04c30f-b6b4-43b6-b622-0304433ef98f" ma:termSetId="cf24b94d-30f9-4168-b0bf-a3b56e28d3b8" ma:anchorId="35b06b9f-8c06-4445-b716-073f83302f3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a0f8b217f94daa82dc4eea35819a07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Policy ＆ Guidance</TermName>
          <TermId xmlns="http://schemas.microsoft.com/office/infopath/2007/PartnerControls">a515aebd-d01b-497f-9028-eeecb64e6e37</TermId>
        </TermInfo>
      </Terms>
    </ida0f8b217f94daa82dc4eea35819a07>
    <TaxCatchAll xmlns="14f58531-a34f-43cb-b97b-60a4b8e60023">
      <Value>2894</Value>
      <Value>1311</Value>
    </TaxCatchAll>
    <ContentDisplayOrder xmlns="14f58531-a34f-43cb-b97b-60a4b8e60023">99</ContentDisplayOrder>
    <ncaf0338309d44939a561ea6e1d3dda9 xmlns="14f58531-a34f-43cb-b97b-60a4b8e60023">
      <Terms xmlns="http://schemas.microsoft.com/office/infopath/2007/PartnerControls"/>
    </ncaf0338309d44939a561ea6e1d3dda9>
    <hebfa55e97a440a4b0b631fde26adccc xmlns="14f58531-a34f-43cb-b97b-60a4b8e60023">
      <Terms xmlns="http://schemas.microsoft.com/office/infopath/2007/PartnerControls"/>
    </hebfa55e97a440a4b0b631fde26adccc>
    <l08bc5eda453452bb48ea35ca61d4e33 xmlns="14f58531-a34f-43cb-b97b-60a4b8e60023">
      <Terms xmlns="http://schemas.microsoft.com/office/infopath/2007/PartnerControls"/>
    </l08bc5eda453452bb48ea35ca61d4e33>
    <LeadIn xmlns="14f58531-a34f-43cb-b97b-60a4b8e60023">Grant Bulletin 21-01 implements a revision codified in 2 CFR § 200.344 of the Uniform Administrative Requirements, Cost Principles, and Audit Requirements for Federal Awards (the Uniform Guidance).</LeadIn>
    <URL xmlns="http://schemas.microsoft.com/sharepoint/v3">
      <Url xsi:nil="true"/>
      <Description xsi:nil="true"/>
    </URL>
    <ContentReviewDate xmlns="14f58531-a34f-43cb-b97b-60a4b8e60023">2022-04-14T04:00:00+00:00</ContentReviewDate>
    <Archive xmlns="14f58531-a34f-43cb-b97b-60a4b8e60023">false</Archive>
    <naff5b59156a4da596b561dfa138abab xmlns="14f58531-a34f-43cb-b97b-60a4b8e60023">
      <Terms xmlns="http://schemas.microsoft.com/office/infopath/2007/PartnerControls"/>
    </naff5b59156a4da596b561dfa138abab>
    <PublishingExpirationDate xmlns="http://schemas.microsoft.com/sharepoint/v3" xsi:nil="true"/>
    <ContentIsFeatured xmlns="14f58531-a34f-43cb-b97b-60a4b8e60023">Yes</ContentIsFeatured>
    <Content508Compliant xmlns="14f58531-a34f-43cb-b97b-60a4b8e60023">I confirm that this content is accessible</Content508Compliant>
    <PublishingStartDate xmlns="http://schemas.microsoft.com/sharepoint/v3" xsi:nil="true"/>
    <i9ab4d0357c04776b400b9805696f9b5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OGA</TermName>
          <TermId xmlns="http://schemas.microsoft.com/office/infopath/2007/PartnerControls">c0f2cc06-a61e-4464-8eae-3a001d0c8ccb</TermId>
        </TermInfo>
      </Terms>
    </i9ab4d0357c04776b400b9805696f9b5>
    <PublishingContact xmlns="http://schemas.microsoft.com/sharepoint/v3">
      <UserInfo>
        <DisplayName/>
        <AccountId xsi:nil="true"/>
        <AccountType/>
      </UserInfo>
    </PublishingContact>
    <ContentStatus xmlns="14f58531-a34f-43cb-b97b-60a4b8e60023">Draft</ContentStatus>
    <_dlc_ExpireDateSaved xmlns="http://schemas.microsoft.com/sharepoint/v3" xsi:nil="true"/>
    <_dlc_ExpireDate xmlns="http://schemas.microsoft.com/sharepoint/v3">2022-04-14T04:00:00+00:00</_dlc_ExpireDate>
    <_dlc_DocId xmlns="14f58531-a34f-43cb-b97b-60a4b8e60023">M44AFDR6A2NR-23-6488</_dlc_DocId>
    <_dlc_DocIdUrl xmlns="14f58531-a34f-43cb-b97b-60a4b8e60023">
      <Url>https://connected.ed.gov/_layouts/15/DocIdRedir.aspx?ID=M44AFDR6A2NR-23-6488</Url>
      <Description>M44AFDR6A2NR-23-6488</Description>
    </_dlc_DocIdUrl>
  </documentManagement>
</p:properties>
</file>

<file path=customXml/itemProps1.xml><?xml version="1.0" encoding="utf-8"?>
<ds:datastoreItem xmlns:ds="http://schemas.openxmlformats.org/officeDocument/2006/customXml" ds:itemID="{0D9A8B21-27E8-4F9F-958E-AC4EB4EA5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11BFB-5DC0-4BCD-B324-E11B3367541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A889623-34C5-4537-9157-7D891D666B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C9D5A2-FA0D-40B9-908A-A7ECB21A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f58531-a34f-43cb-b97b-60a4b8e60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64102E-1B06-4284-839A-DB626ED8494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14f58531-a34f-43cb-b97b-60a4b8e60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 21-01 - Implementation of the 120-Calendar Day Liquidation Period Codified in 2 CFR § 200.344 and Effective on November 12, 2020</dc:title>
  <dc:creator>Pedro.Romero@ed.gov;cleveland.knight@ed.gov</dc:creator>
  <cp:keywords>GB-21-01; Implementation of the 120-Calendar Day Liquidation Period; 120-Calendar Day Liquidation Period;  Liquidation Period</cp:keywords>
  <cp:lastModifiedBy>David K Steele</cp:lastModifiedBy>
  <cp:revision>2</cp:revision>
  <dcterms:created xsi:type="dcterms:W3CDTF">2021-04-21T13:48:00Z</dcterms:created>
  <dcterms:modified xsi:type="dcterms:W3CDTF">2021-04-21T13:48:00Z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0x0101001C22A2B9DBEDBB4DB130C1FAF5F2F008005B9DEC00993488418926717A1D7793B2</vt:lpwstr>
  </property>
  <property fmtid="{D5CDD505-2E9C-101B-9397-08002B2CF9AE}" pid="6" name="_dlc_policyId">
    <vt:lpwstr>0x0101001C22A2B9DBEDBB4DB130C1FAF5F2F008|-874002092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ContentReviewDate&lt;/property&gt;&lt;propertyId&gt;e73c04b4-25ca-454b-b674-82c4e4755cf8&lt;/propertyId&gt;&lt;period&gt;days&lt;/period&gt;&lt;/formula&gt;</vt:lpwstr>
  </property>
  <property fmtid="{D5CDD505-2E9C-101B-9397-08002B2CF9AE}" pid="8" name="_dlc_DocIdItemGuid">
    <vt:lpwstr>e1a9d13d-cd11-4b8f-9e7e-329e66e92e8d</vt:lpwstr>
  </property>
  <property fmtid="{D5CDD505-2E9C-101B-9397-08002B2CF9AE}" pid="9" name="Enterprise Navigation Section">
    <vt:lpwstr/>
  </property>
  <property fmtid="{D5CDD505-2E9C-101B-9397-08002B2CF9AE}" pid="10" name="connectED Offices">
    <vt:lpwstr>1311;#OGA|c0f2cc06-a61e-4464-8eae-3a001d0c8ccb</vt:lpwstr>
  </property>
  <property fmtid="{D5CDD505-2E9C-101B-9397-08002B2CF9AE}" pid="11" name="Navigation Category">
    <vt:lpwstr>2894;#Grant Policy ＆ Guidance|a515aebd-d01b-497f-9028-eeecb64e6e37</vt:lpwstr>
  </property>
  <property fmtid="{D5CDD505-2E9C-101B-9397-08002B2CF9AE}" pid="12" name="ContentOffice">
    <vt:lpwstr/>
  </property>
  <property fmtid="{D5CDD505-2E9C-101B-9397-08002B2CF9AE}" pid="13" name="Enterprise Site Category/Topic">
    <vt:lpwstr/>
  </property>
  <property fmtid="{D5CDD505-2E9C-101B-9397-08002B2CF9AE}" pid="14" name="Secondary Navigation Category">
    <vt:lpwstr/>
  </property>
</Properties>
</file>