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D048" w14:textId="36E3F407" w:rsidR="000E59B5" w:rsidRDefault="00E45AF6" w:rsidP="000030E3">
      <w:pPr>
        <w:jc w:val="center"/>
        <w:rPr>
          <w:b/>
          <w:bCs/>
          <w:u w:val="single"/>
        </w:rPr>
      </w:pPr>
      <w:r>
        <w:rPr>
          <w:b/>
          <w:bCs/>
          <w:u w:val="single"/>
        </w:rPr>
        <w:t>Senate Bill 90 FAQ</w:t>
      </w:r>
    </w:p>
    <w:p w14:paraId="7738C166" w14:textId="41EBED29" w:rsidR="00424AD0" w:rsidRDefault="00424AD0" w:rsidP="00424AD0">
      <w:pPr>
        <w:pStyle w:val="xmsonormal"/>
        <w:jc w:val="both"/>
      </w:pPr>
      <w:r>
        <w:t>SB 90 creates a</w:t>
      </w:r>
      <w:r w:rsidR="37CE02F7">
        <w:t xml:space="preserve"> </w:t>
      </w:r>
      <w:r w:rsidR="00727CFD">
        <w:t xml:space="preserve">pilot program for a behavioral health conditional dismissal program beginning January 1, </w:t>
      </w:r>
      <w:r w:rsidR="36353902">
        <w:t>2023,</w:t>
      </w:r>
      <w:r>
        <w:t xml:space="preserve"> </w:t>
      </w:r>
      <w:r w:rsidR="00263F29">
        <w:t xml:space="preserve">to </w:t>
      </w:r>
      <w:r>
        <w:t xml:space="preserve">divert defendants charged with certain non-violent, non-sexual misdemeanors and Class D felonies away from jail and into treatment for substance-use disorder(s) or mental-health issues.  </w:t>
      </w:r>
    </w:p>
    <w:p w14:paraId="5760607D" w14:textId="77777777" w:rsidR="00424AD0" w:rsidRDefault="00424AD0" w:rsidP="00424AD0">
      <w:pPr>
        <w:pStyle w:val="xmsonormal"/>
        <w:jc w:val="both"/>
      </w:pPr>
      <w:r>
        <w:t> </w:t>
      </w:r>
    </w:p>
    <w:p w14:paraId="0A38E8B1" w14:textId="17E47B59" w:rsidR="00394E06" w:rsidRDefault="00263F29" w:rsidP="00424AD0">
      <w:pPr>
        <w:pStyle w:val="xmsonormal"/>
        <w:jc w:val="both"/>
      </w:pPr>
      <w:r>
        <w:t>The goal of SB 90 is</w:t>
      </w:r>
      <w:r w:rsidR="00424AD0">
        <w:t xml:space="preserve"> to eliminate barriers to addiction and expand access to treatment. The legislation provides an alternative to incarceration by allowing eligible defendants to receive treatment for substance abuse and/or behavioral health disorder.   Under this legislation, eligible defendants must be assessed as soon as possible (but within at least 72 hours) by a mental health specialist who will ascertain the presence of a behavioral health disorder.   If the defendant is determined to be eligible for the behavioral health conditional dismissal program, the prosecutor can enter into an agreement for the defendant to enter this program.  This program will include an array of services such </w:t>
      </w:r>
      <w:r>
        <w:t>as outpatient</w:t>
      </w:r>
      <w:r w:rsidR="00424AD0">
        <w:t xml:space="preserve"> or inpatient treatment, cognitive and behavioral therapies, education, vocational services, and housing assistance. The programs will be funded through either the defendant’s current health insurance (including Medicaid), or if the defendant is uninsured</w:t>
      </w:r>
      <w:r w:rsidR="00E45AF6">
        <w:t xml:space="preserve"> or underinsured</w:t>
      </w:r>
      <w:r w:rsidR="00424AD0">
        <w:t>, the Opioid Abatement Trust Fund, which will be administered by the Department for Behavioral Health, Developmental and Intellectual Disabilities (BHDID).  </w:t>
      </w:r>
    </w:p>
    <w:p w14:paraId="6F1B26D7" w14:textId="77777777" w:rsidR="00394E06" w:rsidRDefault="00394E06" w:rsidP="00424AD0">
      <w:pPr>
        <w:pStyle w:val="xmsonormal"/>
        <w:jc w:val="both"/>
      </w:pPr>
    </w:p>
    <w:p w14:paraId="27626DC2" w14:textId="706CAA2C" w:rsidR="00424AD0" w:rsidRDefault="00424AD0" w:rsidP="00424AD0">
      <w:pPr>
        <w:pStyle w:val="xmsonormal"/>
        <w:jc w:val="both"/>
      </w:pPr>
      <w:r>
        <w:t xml:space="preserve"> SB 90 also requires treatment providers and County</w:t>
      </w:r>
      <w:r w:rsidR="61159741">
        <w:t xml:space="preserve"> or </w:t>
      </w:r>
      <w:r>
        <w:t xml:space="preserve">Commonwealth Attorneys to collect data regarding the defendant’s participation in the program and report to the Administrative Office of the Courts throughout various time periods during the defendant’s participation in the program. </w:t>
      </w:r>
    </w:p>
    <w:p w14:paraId="4B87D502" w14:textId="60A43192" w:rsidR="000030E3" w:rsidRDefault="000030E3" w:rsidP="000030E3"/>
    <w:p w14:paraId="1320E014" w14:textId="7F436EBD" w:rsidR="00424AD0" w:rsidRDefault="00424AD0" w:rsidP="00424AD0">
      <w:pPr>
        <w:jc w:val="center"/>
        <w:rPr>
          <w:b/>
          <w:bCs/>
          <w:u w:val="single"/>
        </w:rPr>
      </w:pPr>
      <w:r w:rsidRPr="00424AD0">
        <w:rPr>
          <w:b/>
          <w:bCs/>
          <w:u w:val="single"/>
        </w:rPr>
        <w:t>Pilot Sites</w:t>
      </w:r>
    </w:p>
    <w:p w14:paraId="2E7CB85D" w14:textId="02E927E9" w:rsidR="00424AD0" w:rsidRDefault="00424AD0" w:rsidP="00424AD0">
      <w:pPr>
        <w:pStyle w:val="xxmsonormal"/>
        <w:jc w:val="both"/>
      </w:pPr>
      <w:r>
        <w:t>The following eleven counties were selected as pilot sites for SB 90 based on a variety of factors including: the operation of a county jail, availability of community and mental health programs, historical data relating to eligible individuals for participation, initial interest by counties expressing desire to participate, and consideration of equal representation of each Supreme Court District.   </w:t>
      </w:r>
    </w:p>
    <w:p w14:paraId="45ACBA5C" w14:textId="0E76356B" w:rsidR="00424AD0" w:rsidRDefault="00424AD0" w:rsidP="00424AD0">
      <w:pPr>
        <w:pStyle w:val="xxmsonormal"/>
        <w:jc w:val="both"/>
      </w:pPr>
    </w:p>
    <w:p w14:paraId="1AFA390B" w14:textId="77777777" w:rsidR="00424AD0" w:rsidRDefault="00424AD0" w:rsidP="00424AD0">
      <w:pPr>
        <w:pStyle w:val="xxmsonormal"/>
        <w:spacing w:line="252" w:lineRule="auto"/>
        <w:ind w:left="1800" w:hanging="360"/>
        <w:jc w:val="both"/>
      </w:pPr>
      <w:r>
        <w:rPr>
          <w:rFonts w:ascii="Symbol" w:hAnsi="Symbol"/>
          <w:sz w:val="20"/>
          <w:szCs w:val="20"/>
        </w:rPr>
        <w:t>·</w:t>
      </w:r>
      <w:r>
        <w:rPr>
          <w:rFonts w:ascii="Times New Roman" w:hAnsi="Times New Roman" w:cs="Times New Roman"/>
          <w:sz w:val="14"/>
          <w:szCs w:val="14"/>
        </w:rPr>
        <w:t xml:space="preserve">       </w:t>
      </w:r>
      <w:r>
        <w:t>Kenton</w:t>
      </w:r>
    </w:p>
    <w:p w14:paraId="0C6B1631" w14:textId="77777777" w:rsidR="00424AD0" w:rsidRDefault="00424AD0" w:rsidP="00424AD0">
      <w:pPr>
        <w:pStyle w:val="xxmsonormal"/>
        <w:spacing w:line="252" w:lineRule="auto"/>
        <w:ind w:left="1800" w:hanging="360"/>
        <w:jc w:val="both"/>
      </w:pPr>
      <w:r>
        <w:rPr>
          <w:rFonts w:ascii="Symbol" w:hAnsi="Symbol"/>
          <w:sz w:val="20"/>
          <w:szCs w:val="20"/>
        </w:rPr>
        <w:t>·</w:t>
      </w:r>
      <w:r>
        <w:rPr>
          <w:rFonts w:ascii="Times New Roman" w:hAnsi="Times New Roman" w:cs="Times New Roman"/>
          <w:sz w:val="14"/>
          <w:szCs w:val="14"/>
        </w:rPr>
        <w:t xml:space="preserve">       </w:t>
      </w:r>
      <w:r>
        <w:t>Greenup</w:t>
      </w:r>
    </w:p>
    <w:p w14:paraId="033F1C50" w14:textId="77777777" w:rsidR="00424AD0" w:rsidRDefault="00424AD0" w:rsidP="00424AD0">
      <w:pPr>
        <w:pStyle w:val="xxmsonormal"/>
        <w:spacing w:line="252" w:lineRule="auto"/>
        <w:ind w:left="1800" w:hanging="360"/>
        <w:jc w:val="both"/>
      </w:pPr>
      <w:r>
        <w:rPr>
          <w:rFonts w:ascii="Symbol" w:hAnsi="Symbol"/>
          <w:sz w:val="20"/>
          <w:szCs w:val="20"/>
        </w:rPr>
        <w:t>·</w:t>
      </w:r>
      <w:r>
        <w:rPr>
          <w:rFonts w:ascii="Times New Roman" w:hAnsi="Times New Roman" w:cs="Times New Roman"/>
          <w:sz w:val="14"/>
          <w:szCs w:val="14"/>
        </w:rPr>
        <w:t xml:space="preserve">       </w:t>
      </w:r>
      <w:r>
        <w:t>Letcher</w:t>
      </w:r>
    </w:p>
    <w:p w14:paraId="272DD99E" w14:textId="77777777" w:rsidR="00424AD0" w:rsidRDefault="00424AD0" w:rsidP="00424AD0">
      <w:pPr>
        <w:pStyle w:val="xxmsonormal"/>
        <w:spacing w:line="252" w:lineRule="auto"/>
        <w:ind w:left="1800" w:hanging="360"/>
        <w:jc w:val="both"/>
      </w:pPr>
      <w:r>
        <w:rPr>
          <w:rFonts w:ascii="Symbol" w:hAnsi="Symbol"/>
          <w:sz w:val="20"/>
          <w:szCs w:val="20"/>
        </w:rPr>
        <w:t>·</w:t>
      </w:r>
      <w:r>
        <w:rPr>
          <w:rFonts w:ascii="Times New Roman" w:hAnsi="Times New Roman" w:cs="Times New Roman"/>
          <w:sz w:val="14"/>
          <w:szCs w:val="14"/>
        </w:rPr>
        <w:t xml:space="preserve">       </w:t>
      </w:r>
      <w:r>
        <w:t xml:space="preserve">Clark </w:t>
      </w:r>
    </w:p>
    <w:p w14:paraId="250250DA" w14:textId="77777777" w:rsidR="00424AD0" w:rsidRDefault="00424AD0" w:rsidP="00424AD0">
      <w:pPr>
        <w:pStyle w:val="xxmsonormal"/>
        <w:spacing w:line="252" w:lineRule="auto"/>
        <w:ind w:left="1800" w:hanging="360"/>
        <w:jc w:val="both"/>
      </w:pPr>
      <w:r>
        <w:rPr>
          <w:rFonts w:ascii="Symbol" w:hAnsi="Symbol"/>
          <w:sz w:val="20"/>
          <w:szCs w:val="20"/>
        </w:rPr>
        <w:t>·</w:t>
      </w:r>
      <w:r>
        <w:rPr>
          <w:rFonts w:ascii="Times New Roman" w:hAnsi="Times New Roman" w:cs="Times New Roman"/>
          <w:sz w:val="14"/>
          <w:szCs w:val="14"/>
        </w:rPr>
        <w:t xml:space="preserve">       </w:t>
      </w:r>
      <w:r>
        <w:t>McCracken</w:t>
      </w:r>
    </w:p>
    <w:p w14:paraId="64E48C7E" w14:textId="77777777" w:rsidR="00424AD0" w:rsidRDefault="00424AD0" w:rsidP="00424AD0">
      <w:pPr>
        <w:pStyle w:val="xxmsonormal"/>
        <w:spacing w:line="252" w:lineRule="auto"/>
        <w:ind w:left="1800" w:hanging="360"/>
        <w:jc w:val="both"/>
      </w:pPr>
      <w:r>
        <w:rPr>
          <w:rFonts w:ascii="Symbol" w:hAnsi="Symbol"/>
          <w:sz w:val="20"/>
          <w:szCs w:val="20"/>
        </w:rPr>
        <w:t>·</w:t>
      </w:r>
      <w:r>
        <w:rPr>
          <w:rFonts w:ascii="Times New Roman" w:hAnsi="Times New Roman" w:cs="Times New Roman"/>
          <w:sz w:val="14"/>
          <w:szCs w:val="14"/>
        </w:rPr>
        <w:t xml:space="preserve">       </w:t>
      </w:r>
      <w:r>
        <w:t>Daviess</w:t>
      </w:r>
    </w:p>
    <w:p w14:paraId="2EEE9AB0" w14:textId="77777777" w:rsidR="00424AD0" w:rsidRDefault="00424AD0" w:rsidP="00424AD0">
      <w:pPr>
        <w:pStyle w:val="xxmsonormal"/>
        <w:ind w:left="1800" w:hanging="360"/>
        <w:jc w:val="both"/>
      </w:pPr>
      <w:r>
        <w:rPr>
          <w:rFonts w:ascii="Symbol" w:hAnsi="Symbol"/>
          <w:sz w:val="20"/>
          <w:szCs w:val="20"/>
        </w:rPr>
        <w:t>·</w:t>
      </w:r>
      <w:r>
        <w:rPr>
          <w:rFonts w:ascii="Times New Roman" w:hAnsi="Times New Roman" w:cs="Times New Roman"/>
          <w:sz w:val="14"/>
          <w:szCs w:val="14"/>
        </w:rPr>
        <w:t xml:space="preserve">       </w:t>
      </w:r>
      <w:r>
        <w:t>Pulaski</w:t>
      </w:r>
    </w:p>
    <w:p w14:paraId="12B10E68" w14:textId="77777777" w:rsidR="00424AD0" w:rsidRDefault="00424AD0" w:rsidP="00424AD0">
      <w:pPr>
        <w:pStyle w:val="xxmsonormal"/>
        <w:spacing w:line="252" w:lineRule="auto"/>
        <w:ind w:left="1800" w:hanging="360"/>
        <w:jc w:val="both"/>
      </w:pPr>
      <w:r>
        <w:rPr>
          <w:rFonts w:ascii="Symbol" w:hAnsi="Symbol"/>
          <w:sz w:val="20"/>
          <w:szCs w:val="20"/>
        </w:rPr>
        <w:t>·</w:t>
      </w:r>
      <w:r>
        <w:rPr>
          <w:rFonts w:ascii="Times New Roman" w:hAnsi="Times New Roman" w:cs="Times New Roman"/>
          <w:sz w:val="14"/>
          <w:szCs w:val="14"/>
        </w:rPr>
        <w:t xml:space="preserve">       </w:t>
      </w:r>
      <w:r>
        <w:t>Madison</w:t>
      </w:r>
    </w:p>
    <w:p w14:paraId="2D8275A9" w14:textId="77777777" w:rsidR="00424AD0" w:rsidRDefault="00424AD0" w:rsidP="00424AD0">
      <w:pPr>
        <w:pStyle w:val="xxmsonormal"/>
        <w:spacing w:line="252" w:lineRule="auto"/>
        <w:ind w:left="1800" w:hanging="360"/>
        <w:jc w:val="both"/>
      </w:pPr>
      <w:r>
        <w:rPr>
          <w:rFonts w:ascii="Symbol" w:hAnsi="Symbol"/>
          <w:sz w:val="20"/>
          <w:szCs w:val="20"/>
        </w:rPr>
        <w:t>·</w:t>
      </w:r>
      <w:r>
        <w:rPr>
          <w:rFonts w:ascii="Times New Roman" w:hAnsi="Times New Roman" w:cs="Times New Roman"/>
          <w:sz w:val="14"/>
          <w:szCs w:val="14"/>
        </w:rPr>
        <w:t xml:space="preserve">       </w:t>
      </w:r>
      <w:r>
        <w:t>Oldham</w:t>
      </w:r>
    </w:p>
    <w:p w14:paraId="00E8B1FC" w14:textId="77777777" w:rsidR="00424AD0" w:rsidRDefault="00424AD0" w:rsidP="00424AD0">
      <w:pPr>
        <w:pStyle w:val="xxmsonormal"/>
        <w:spacing w:line="252" w:lineRule="auto"/>
        <w:ind w:left="1800" w:hanging="360"/>
        <w:jc w:val="both"/>
      </w:pPr>
      <w:r>
        <w:rPr>
          <w:rFonts w:ascii="Symbol" w:hAnsi="Symbol"/>
          <w:sz w:val="20"/>
          <w:szCs w:val="20"/>
        </w:rPr>
        <w:t>·</w:t>
      </w:r>
      <w:r>
        <w:rPr>
          <w:rFonts w:ascii="Times New Roman" w:hAnsi="Times New Roman" w:cs="Times New Roman"/>
          <w:sz w:val="14"/>
          <w:szCs w:val="14"/>
        </w:rPr>
        <w:t xml:space="preserve">       </w:t>
      </w:r>
      <w:r>
        <w:t>Hopkins</w:t>
      </w:r>
    </w:p>
    <w:p w14:paraId="7A00BF00" w14:textId="77777777" w:rsidR="00424AD0" w:rsidRDefault="00424AD0" w:rsidP="00424AD0">
      <w:pPr>
        <w:pStyle w:val="xxmsonormal"/>
        <w:ind w:left="1800" w:hanging="360"/>
        <w:jc w:val="both"/>
      </w:pPr>
      <w:r>
        <w:rPr>
          <w:rFonts w:ascii="Symbol" w:hAnsi="Symbol"/>
          <w:sz w:val="20"/>
          <w:szCs w:val="20"/>
        </w:rPr>
        <w:t>·</w:t>
      </w:r>
      <w:r>
        <w:rPr>
          <w:rFonts w:ascii="Times New Roman" w:hAnsi="Times New Roman" w:cs="Times New Roman"/>
          <w:sz w:val="14"/>
          <w:szCs w:val="14"/>
        </w:rPr>
        <w:t xml:space="preserve">       </w:t>
      </w:r>
      <w:r>
        <w:t>Christian</w:t>
      </w:r>
    </w:p>
    <w:p w14:paraId="67EBF3C1" w14:textId="77777777" w:rsidR="00424AD0" w:rsidRDefault="00424AD0" w:rsidP="00424AD0">
      <w:pPr>
        <w:pStyle w:val="xxmsonormal"/>
        <w:jc w:val="both"/>
      </w:pPr>
    </w:p>
    <w:p w14:paraId="01B9980A" w14:textId="77777777" w:rsidR="00424AD0" w:rsidRDefault="00424AD0" w:rsidP="00424AD0">
      <w:pPr>
        <w:pStyle w:val="xxmsonormal"/>
        <w:jc w:val="both"/>
      </w:pPr>
    </w:p>
    <w:p w14:paraId="24669279" w14:textId="480A595A" w:rsidR="000E59B5" w:rsidRDefault="000E59B5">
      <w:pPr>
        <w:rPr>
          <w:b/>
          <w:bCs/>
          <w:u w:val="single"/>
        </w:rPr>
      </w:pPr>
    </w:p>
    <w:p w14:paraId="457254CC" w14:textId="065071CE" w:rsidR="000E59B5" w:rsidRDefault="000E59B5">
      <w:pPr>
        <w:rPr>
          <w:b/>
          <w:bCs/>
          <w:u w:val="single"/>
        </w:rPr>
      </w:pPr>
    </w:p>
    <w:p w14:paraId="572A9977" w14:textId="77777777" w:rsidR="00B45717" w:rsidRDefault="00B45717">
      <w:pPr>
        <w:rPr>
          <w:b/>
          <w:bCs/>
          <w:u w:val="single"/>
        </w:rPr>
      </w:pPr>
    </w:p>
    <w:p w14:paraId="62AB27E5" w14:textId="7200086F" w:rsidR="00611951" w:rsidRDefault="00314F51" w:rsidP="00314F51">
      <w:pPr>
        <w:jc w:val="center"/>
        <w:rPr>
          <w:b/>
          <w:bCs/>
          <w:u w:val="single"/>
        </w:rPr>
      </w:pPr>
      <w:r>
        <w:rPr>
          <w:b/>
          <w:bCs/>
          <w:u w:val="single"/>
        </w:rPr>
        <w:lastRenderedPageBreak/>
        <w:t>Eligible Par</w:t>
      </w:r>
      <w:r w:rsidR="00B45717">
        <w:rPr>
          <w:b/>
          <w:bCs/>
          <w:u w:val="single"/>
        </w:rPr>
        <w:t>ti</w:t>
      </w:r>
      <w:r>
        <w:rPr>
          <w:b/>
          <w:bCs/>
          <w:u w:val="single"/>
        </w:rPr>
        <w:t>cipants</w:t>
      </w:r>
    </w:p>
    <w:p w14:paraId="2C525C5C" w14:textId="0ABFA59F" w:rsidR="000E59B5" w:rsidRPr="000E59B5" w:rsidRDefault="000E59B5" w:rsidP="000E59B5">
      <w:pPr>
        <w:numPr>
          <w:ilvl w:val="0"/>
          <w:numId w:val="1"/>
        </w:numPr>
      </w:pPr>
      <w:r>
        <w:t>Must be charged with a qualifying offense (N</w:t>
      </w:r>
      <w:r w:rsidR="00E45AF6">
        <w:t>o</w:t>
      </w:r>
      <w:r>
        <w:t xml:space="preserve"> violent offender, sex offense, DUI, domestic violence, or protective orders against victim)</w:t>
      </w:r>
    </w:p>
    <w:p w14:paraId="3C57FD64" w14:textId="0805B18F" w:rsidR="24DDCC74" w:rsidRDefault="24DDCC74" w:rsidP="2FD784ED">
      <w:pPr>
        <w:numPr>
          <w:ilvl w:val="0"/>
          <w:numId w:val="1"/>
        </w:numPr>
      </w:pPr>
      <w:r>
        <w:t xml:space="preserve">Must be at least 18 years of age and a resident of the </w:t>
      </w:r>
      <w:proofErr w:type="gramStart"/>
      <w:r>
        <w:t>Commonwealth;</w:t>
      </w:r>
      <w:proofErr w:type="gramEnd"/>
    </w:p>
    <w:p w14:paraId="6EAE0777" w14:textId="77777777" w:rsidR="000E59B5" w:rsidRPr="000E59B5" w:rsidRDefault="000E59B5" w:rsidP="000E59B5">
      <w:pPr>
        <w:numPr>
          <w:ilvl w:val="0"/>
          <w:numId w:val="1"/>
        </w:numPr>
      </w:pPr>
      <w:r w:rsidRPr="000E59B5">
        <w:t>Must not have a previous conviction for a Class A, B, or C felony, or a Class D felony or misdemeanor that is not a qualifying offense; and</w:t>
      </w:r>
    </w:p>
    <w:p w14:paraId="21FF6BE7" w14:textId="77777777" w:rsidR="00E45AF6" w:rsidRDefault="000E59B5" w:rsidP="00E45AF6">
      <w:pPr>
        <w:numPr>
          <w:ilvl w:val="0"/>
          <w:numId w:val="1"/>
        </w:numPr>
      </w:pPr>
      <w:r w:rsidRPr="000E59B5">
        <w:t>Has been assessed by pretrial services as a low-risk, low-level offender</w:t>
      </w:r>
    </w:p>
    <w:p w14:paraId="082AE4FD" w14:textId="77777777" w:rsidR="00E45AF6" w:rsidRDefault="00E45AF6" w:rsidP="00E45AF6">
      <w:pPr>
        <w:ind w:left="360"/>
      </w:pPr>
      <w:r>
        <w:t>OR</w:t>
      </w:r>
    </w:p>
    <w:p w14:paraId="7A6D9317" w14:textId="709F6432" w:rsidR="00E45AF6" w:rsidRDefault="5DDB2F82" w:rsidP="00E45AF6">
      <w:pPr>
        <w:numPr>
          <w:ilvl w:val="0"/>
          <w:numId w:val="1"/>
        </w:numPr>
      </w:pPr>
      <w:r>
        <w:t>Dete</w:t>
      </w:r>
      <w:r w:rsidR="000E59B5">
        <w:t>rmined by the attorney for the Commonwealth or the attorney for the defendant as a viable participant in the program.</w:t>
      </w:r>
    </w:p>
    <w:p w14:paraId="2DD3CB66" w14:textId="6BFF6FDA" w:rsidR="00E45AF6" w:rsidRPr="00E45AF6" w:rsidRDefault="00E45AF6" w:rsidP="00E45AF6">
      <w:pPr>
        <w:numPr>
          <w:ilvl w:val="0"/>
          <w:numId w:val="1"/>
        </w:numPr>
      </w:pPr>
      <w:r w:rsidRPr="000E59B5">
        <w:t>Clinical assessment must indicate behavioral health disorder</w:t>
      </w:r>
    </w:p>
    <w:p w14:paraId="728B0CE7" w14:textId="77777777" w:rsidR="00E45AF6" w:rsidRDefault="00263F29" w:rsidP="00E45AF6">
      <w:pPr>
        <w:ind w:left="1800"/>
        <w:rPr>
          <w:b/>
          <w:bCs/>
        </w:rPr>
      </w:pPr>
      <w:r w:rsidRPr="00E45AF6">
        <w:rPr>
          <w:b/>
          <w:bCs/>
        </w:rPr>
        <w:t xml:space="preserve">                         </w:t>
      </w:r>
    </w:p>
    <w:p w14:paraId="14C6BA83" w14:textId="4B6CF637" w:rsidR="00263F29" w:rsidRPr="00E45AF6" w:rsidRDefault="00263F29" w:rsidP="00E45AF6">
      <w:pPr>
        <w:jc w:val="center"/>
        <w:rPr>
          <w:b/>
          <w:bCs/>
          <w:u w:val="single"/>
        </w:rPr>
      </w:pPr>
      <w:r w:rsidRPr="00E45AF6">
        <w:rPr>
          <w:b/>
          <w:bCs/>
          <w:u w:val="single"/>
        </w:rPr>
        <w:t>Data Collection and Reporting</w:t>
      </w:r>
    </w:p>
    <w:p w14:paraId="68732A32" w14:textId="4E41F21E" w:rsidR="00263F29" w:rsidRDefault="00263F29" w:rsidP="00263F29">
      <w:pPr>
        <w:pStyle w:val="xxmsonormal"/>
      </w:pPr>
      <w:r>
        <w:t>SB 90 requires AOC to collect data from treatment providers and prosecutors relating to an individual’s participation in the conditional dismissal program for preparation of an annual report.  The report shall be submitted to the following entities by January 31:</w:t>
      </w:r>
    </w:p>
    <w:p w14:paraId="52F24416" w14:textId="77777777" w:rsidR="00E45AF6" w:rsidRDefault="00E45AF6" w:rsidP="00263F29">
      <w:pPr>
        <w:pStyle w:val="xxmsonormal"/>
      </w:pPr>
    </w:p>
    <w:p w14:paraId="25269E6D" w14:textId="77777777" w:rsidR="00263F29" w:rsidRPr="00E8720D" w:rsidRDefault="00263F29" w:rsidP="00263F29">
      <w:pPr>
        <w:pStyle w:val="ListParagraph"/>
        <w:numPr>
          <w:ilvl w:val="0"/>
          <w:numId w:val="8"/>
        </w:numPr>
        <w:spacing w:after="0" w:line="240" w:lineRule="auto"/>
      </w:pPr>
      <w:r w:rsidRPr="00E8720D">
        <w:t>LRC</w:t>
      </w:r>
    </w:p>
    <w:p w14:paraId="55988267" w14:textId="77777777" w:rsidR="00263F29" w:rsidRPr="00E8720D" w:rsidRDefault="00263F29" w:rsidP="00263F29">
      <w:pPr>
        <w:pStyle w:val="ListParagraph"/>
        <w:numPr>
          <w:ilvl w:val="0"/>
          <w:numId w:val="8"/>
        </w:numPr>
        <w:spacing w:after="0" w:line="240" w:lineRule="auto"/>
      </w:pPr>
      <w:r w:rsidRPr="00E8720D">
        <w:t>Chairs of the Judiciary Committee</w:t>
      </w:r>
    </w:p>
    <w:p w14:paraId="56CF9C35" w14:textId="77777777" w:rsidR="00263F29" w:rsidRDefault="00263F29" w:rsidP="00263F29">
      <w:pPr>
        <w:pStyle w:val="ListParagraph"/>
        <w:numPr>
          <w:ilvl w:val="0"/>
          <w:numId w:val="8"/>
        </w:numPr>
        <w:spacing w:after="0" w:line="240" w:lineRule="auto"/>
      </w:pPr>
      <w:r w:rsidRPr="00E8720D">
        <w:t>Governor</w:t>
      </w:r>
    </w:p>
    <w:p w14:paraId="75A88194" w14:textId="77777777" w:rsidR="00263F29" w:rsidRDefault="00263F29" w:rsidP="00263F29">
      <w:pPr>
        <w:pStyle w:val="ListParagraph"/>
        <w:numPr>
          <w:ilvl w:val="0"/>
          <w:numId w:val="11"/>
        </w:numPr>
        <w:spacing w:after="0" w:line="240" w:lineRule="auto"/>
      </w:pPr>
      <w:r>
        <w:t>Behavioral Health Conditional Dismissal Program Implementation Council (October 1)</w:t>
      </w:r>
    </w:p>
    <w:p w14:paraId="5C801349" w14:textId="77777777" w:rsidR="00263F29" w:rsidRDefault="00263F29" w:rsidP="00263F29">
      <w:pPr>
        <w:pStyle w:val="ListParagraph"/>
        <w:spacing w:after="0" w:line="240" w:lineRule="auto"/>
        <w:ind w:left="1440"/>
      </w:pPr>
    </w:p>
    <w:p w14:paraId="3870AF90" w14:textId="77777777" w:rsidR="00263F29" w:rsidRDefault="00263F29" w:rsidP="00263F29">
      <w:pPr>
        <w:spacing w:after="0" w:line="240" w:lineRule="auto"/>
        <w:ind w:left="720"/>
        <w:contextualSpacing/>
        <w:rPr>
          <w:b/>
          <w:bCs/>
        </w:rPr>
      </w:pPr>
      <w:r>
        <w:rPr>
          <w:b/>
          <w:bCs/>
        </w:rPr>
        <w:t>Report shall include:</w:t>
      </w:r>
    </w:p>
    <w:p w14:paraId="560BEB32" w14:textId="77777777" w:rsidR="00263F29" w:rsidRPr="00C90DB4" w:rsidRDefault="00263F29" w:rsidP="00263F29">
      <w:pPr>
        <w:pStyle w:val="ListParagraph"/>
        <w:numPr>
          <w:ilvl w:val="0"/>
          <w:numId w:val="9"/>
        </w:numPr>
        <w:spacing w:after="0" w:line="240" w:lineRule="auto"/>
        <w:ind w:left="720"/>
      </w:pPr>
      <w:r w:rsidRPr="00C90DB4">
        <w:t xml:space="preserve"> The number of defendants assessed who did not meet the eligibility requirements for the program following the clinical </w:t>
      </w:r>
      <w:proofErr w:type="gramStart"/>
      <w:r w:rsidRPr="00C90DB4">
        <w:t>assessment;</w:t>
      </w:r>
      <w:proofErr w:type="gramEnd"/>
    </w:p>
    <w:p w14:paraId="224ACCBC" w14:textId="77777777" w:rsidR="00263F29" w:rsidRPr="00C90DB4" w:rsidRDefault="00263F29" w:rsidP="00263F29">
      <w:pPr>
        <w:pStyle w:val="ListParagraph"/>
        <w:numPr>
          <w:ilvl w:val="0"/>
          <w:numId w:val="9"/>
        </w:numPr>
        <w:spacing w:after="0" w:line="240" w:lineRule="auto"/>
        <w:ind w:left="720"/>
      </w:pPr>
      <w:r w:rsidRPr="00C90DB4">
        <w:t xml:space="preserve">The specific offenses charged for each defendant and the classification of offenses </w:t>
      </w:r>
      <w:proofErr w:type="gramStart"/>
      <w:r w:rsidRPr="00C90DB4">
        <w:t>charged;</w:t>
      </w:r>
      <w:proofErr w:type="gramEnd"/>
    </w:p>
    <w:p w14:paraId="5D09CF2D" w14:textId="7BFE5C1D" w:rsidR="00263F29" w:rsidRPr="00C90DB4" w:rsidRDefault="00263F29" w:rsidP="00263F29">
      <w:pPr>
        <w:spacing w:after="0" w:line="240" w:lineRule="auto"/>
        <w:ind w:left="360"/>
        <w:contextualSpacing/>
      </w:pPr>
      <w:r>
        <w:t xml:space="preserve">3.    The percentage of defendants participating in the program who successfully completed </w:t>
      </w:r>
      <w:r>
        <w:tab/>
      </w:r>
    </w:p>
    <w:p w14:paraId="661CEDF3" w14:textId="3191A912" w:rsidR="00263F29" w:rsidRPr="00C90DB4" w:rsidRDefault="4BAFD09A" w:rsidP="00263F29">
      <w:pPr>
        <w:spacing w:after="0" w:line="240" w:lineRule="auto"/>
        <w:ind w:left="360"/>
        <w:contextualSpacing/>
      </w:pPr>
      <w:r>
        <w:t xml:space="preserve">        </w:t>
      </w:r>
      <w:r w:rsidR="00263F29">
        <w:t xml:space="preserve">the </w:t>
      </w:r>
      <w:proofErr w:type="gramStart"/>
      <w:r w:rsidR="00263F29">
        <w:t>program;</w:t>
      </w:r>
      <w:proofErr w:type="gramEnd"/>
    </w:p>
    <w:p w14:paraId="7EE1716B" w14:textId="77777777" w:rsidR="00263F29" w:rsidRPr="00C90DB4" w:rsidRDefault="00263F29" w:rsidP="00263F29">
      <w:pPr>
        <w:spacing w:after="0" w:line="240" w:lineRule="auto"/>
        <w:contextualSpacing/>
      </w:pPr>
      <w:r>
        <w:t xml:space="preserve">       4.    </w:t>
      </w:r>
      <w:r w:rsidRPr="00C90DB4">
        <w:t>The percentage of defendants discharged from the program for</w:t>
      </w:r>
      <w:r>
        <w:t xml:space="preserve"> </w:t>
      </w:r>
      <w:r w:rsidRPr="00C90DB4">
        <w:t>noncompliance; and</w:t>
      </w:r>
    </w:p>
    <w:p w14:paraId="29C91686" w14:textId="6C965AE2" w:rsidR="00263F29" w:rsidRDefault="00263F29" w:rsidP="00263F29">
      <w:pPr>
        <w:pStyle w:val="ListParagraph"/>
        <w:numPr>
          <w:ilvl w:val="0"/>
          <w:numId w:val="10"/>
        </w:numPr>
        <w:spacing w:after="0" w:line="240" w:lineRule="auto"/>
      </w:pPr>
      <w:r>
        <w:t xml:space="preserve">The percentage of defendants who are arrested, convicted, and incarcerated within six (6)    </w:t>
      </w:r>
    </w:p>
    <w:p w14:paraId="2271E7E0" w14:textId="77777777" w:rsidR="00263F29" w:rsidRPr="00664561" w:rsidRDefault="00263F29" w:rsidP="00263F29">
      <w:pPr>
        <w:pStyle w:val="xxmsonormal"/>
      </w:pPr>
      <w:r>
        <w:t xml:space="preserve">               </w:t>
      </w:r>
      <w:r w:rsidRPr="00C90DB4">
        <w:t xml:space="preserve">months, one (1) year, and two (2) years of successful </w:t>
      </w:r>
      <w:r>
        <w:t>completion</w:t>
      </w:r>
      <w:r w:rsidRPr="00C90DB4">
        <w:t xml:space="preserve"> of the program.</w:t>
      </w:r>
    </w:p>
    <w:p w14:paraId="06D94403" w14:textId="77777777" w:rsidR="00263F29" w:rsidRDefault="00263F29" w:rsidP="00263F29">
      <w:pPr>
        <w:pStyle w:val="xxmsonormal"/>
        <w:ind w:left="720"/>
      </w:pPr>
    </w:p>
    <w:p w14:paraId="5812CD14" w14:textId="77777777" w:rsidR="00263F29" w:rsidRDefault="00263F29" w:rsidP="00263F29">
      <w:pPr>
        <w:jc w:val="center"/>
        <w:rPr>
          <w:b/>
          <w:bCs/>
          <w:u w:val="single"/>
        </w:rPr>
      </w:pPr>
      <w:r>
        <w:rPr>
          <w:b/>
          <w:bCs/>
          <w:u w:val="single"/>
        </w:rPr>
        <w:t xml:space="preserve">Behavioral Health Treatment Programs Reporting Requirements </w:t>
      </w:r>
    </w:p>
    <w:p w14:paraId="645255A0" w14:textId="77777777" w:rsidR="00263F29" w:rsidRPr="003618C7" w:rsidRDefault="00263F29" w:rsidP="00263F29">
      <w:pPr>
        <w:ind w:left="720"/>
        <w:rPr>
          <w:b/>
          <w:bCs/>
        </w:rPr>
      </w:pPr>
      <w:r w:rsidRPr="003618C7">
        <w:rPr>
          <w:b/>
          <w:bCs/>
        </w:rPr>
        <w:t>Within 14 days following initiation of treatment, collection</w:t>
      </w:r>
      <w:r>
        <w:rPr>
          <w:b/>
          <w:bCs/>
        </w:rPr>
        <w:t>,</w:t>
      </w:r>
      <w:r w:rsidRPr="003618C7">
        <w:rPr>
          <w:b/>
          <w:bCs/>
        </w:rPr>
        <w:t xml:space="preserve"> and submission of participant information to include:  </w:t>
      </w:r>
    </w:p>
    <w:p w14:paraId="45ABC167" w14:textId="77777777" w:rsidR="00263F29" w:rsidRDefault="00263F29" w:rsidP="00263F29">
      <w:pPr>
        <w:pStyle w:val="ListParagraph"/>
        <w:numPr>
          <w:ilvl w:val="0"/>
          <w:numId w:val="3"/>
        </w:numPr>
        <w:spacing w:after="0" w:line="240" w:lineRule="auto"/>
      </w:pPr>
      <w:r>
        <w:t xml:space="preserve">Age, gender, and race or </w:t>
      </w:r>
      <w:proofErr w:type="gramStart"/>
      <w:r>
        <w:t>ethnicity;</w:t>
      </w:r>
      <w:proofErr w:type="gramEnd"/>
    </w:p>
    <w:p w14:paraId="692763EF" w14:textId="77777777" w:rsidR="00263F29" w:rsidRDefault="00263F29" w:rsidP="00263F29">
      <w:pPr>
        <w:pStyle w:val="ListParagraph"/>
        <w:numPr>
          <w:ilvl w:val="0"/>
          <w:numId w:val="3"/>
        </w:numPr>
        <w:spacing w:after="0" w:line="240" w:lineRule="auto"/>
      </w:pPr>
      <w:r>
        <w:t xml:space="preserve">Housing </w:t>
      </w:r>
      <w:proofErr w:type="gramStart"/>
      <w:r>
        <w:t>history;</w:t>
      </w:r>
      <w:proofErr w:type="gramEnd"/>
    </w:p>
    <w:p w14:paraId="2731A7A9" w14:textId="77777777" w:rsidR="00263F29" w:rsidRDefault="00263F29" w:rsidP="00263F29">
      <w:pPr>
        <w:pStyle w:val="ListParagraph"/>
        <w:numPr>
          <w:ilvl w:val="0"/>
          <w:numId w:val="3"/>
        </w:numPr>
        <w:spacing w:after="0" w:line="240" w:lineRule="auto"/>
      </w:pPr>
      <w:r>
        <w:t xml:space="preserve">Educational </w:t>
      </w:r>
      <w:proofErr w:type="gramStart"/>
      <w:r>
        <w:t>history;</w:t>
      </w:r>
      <w:proofErr w:type="gramEnd"/>
    </w:p>
    <w:p w14:paraId="36F9BE16" w14:textId="77777777" w:rsidR="00263F29" w:rsidRDefault="00263F29" w:rsidP="00263F29">
      <w:pPr>
        <w:pStyle w:val="ListParagraph"/>
        <w:numPr>
          <w:ilvl w:val="0"/>
          <w:numId w:val="3"/>
        </w:numPr>
        <w:spacing w:after="0" w:line="240" w:lineRule="auto"/>
      </w:pPr>
      <w:r>
        <w:t xml:space="preserve">Employment </w:t>
      </w:r>
      <w:proofErr w:type="gramStart"/>
      <w:r>
        <w:t>history;</w:t>
      </w:r>
      <w:proofErr w:type="gramEnd"/>
    </w:p>
    <w:p w14:paraId="25FE149B" w14:textId="77777777" w:rsidR="00263F29" w:rsidRDefault="00263F29" w:rsidP="00263F29">
      <w:pPr>
        <w:pStyle w:val="ListParagraph"/>
        <w:numPr>
          <w:ilvl w:val="0"/>
          <w:numId w:val="3"/>
        </w:numPr>
        <w:spacing w:after="0" w:line="240" w:lineRule="auto"/>
      </w:pPr>
      <w:r>
        <w:lastRenderedPageBreak/>
        <w:t xml:space="preserve">Past involvement in addiction recovery and treatment for a substance use </w:t>
      </w:r>
      <w:proofErr w:type="gramStart"/>
      <w:r>
        <w:t>disorder;</w:t>
      </w:r>
      <w:proofErr w:type="gramEnd"/>
    </w:p>
    <w:p w14:paraId="1F694425" w14:textId="77777777" w:rsidR="00263F29" w:rsidRDefault="00263F29" w:rsidP="00263F29">
      <w:pPr>
        <w:pStyle w:val="ListParagraph"/>
        <w:numPr>
          <w:ilvl w:val="0"/>
          <w:numId w:val="3"/>
        </w:numPr>
      </w:pPr>
      <w:r>
        <w:t>Past treatment for a mental health disorder; and</w:t>
      </w:r>
    </w:p>
    <w:p w14:paraId="2467FE02" w14:textId="77777777" w:rsidR="00263F29" w:rsidRPr="00D55F9F" w:rsidRDefault="00263F29" w:rsidP="00263F29">
      <w:pPr>
        <w:pStyle w:val="ListParagraph"/>
        <w:numPr>
          <w:ilvl w:val="0"/>
          <w:numId w:val="3"/>
        </w:numPr>
      </w:pPr>
      <w:r>
        <w:t>Criminal history.</w:t>
      </w:r>
    </w:p>
    <w:p w14:paraId="44885FE7" w14:textId="77777777" w:rsidR="00263F29" w:rsidRPr="003618C7" w:rsidRDefault="00263F29" w:rsidP="00263F29">
      <w:pPr>
        <w:ind w:left="720"/>
        <w:jc w:val="both"/>
        <w:rPr>
          <w:b/>
          <w:bCs/>
        </w:rPr>
      </w:pPr>
      <w:r>
        <w:rPr>
          <w:b/>
          <w:bCs/>
        </w:rPr>
        <w:t>Within</w:t>
      </w:r>
      <w:r w:rsidRPr="003618C7">
        <w:rPr>
          <w:b/>
          <w:bCs/>
        </w:rPr>
        <w:t xml:space="preserve"> 28 days after the initial report, provide progression of the program participant to include:</w:t>
      </w:r>
    </w:p>
    <w:p w14:paraId="3ED3FE34" w14:textId="77777777" w:rsidR="00263F29" w:rsidRDefault="00263F29" w:rsidP="00263F29">
      <w:pPr>
        <w:pStyle w:val="ListParagraph"/>
        <w:numPr>
          <w:ilvl w:val="0"/>
          <w:numId w:val="4"/>
        </w:numPr>
        <w:jc w:val="both"/>
      </w:pPr>
      <w:r>
        <w:t xml:space="preserve">Continuation in the </w:t>
      </w:r>
      <w:proofErr w:type="gramStart"/>
      <w:r>
        <w:t>program;</w:t>
      </w:r>
      <w:proofErr w:type="gramEnd"/>
    </w:p>
    <w:p w14:paraId="65CBF033" w14:textId="77777777" w:rsidR="00263F29" w:rsidRDefault="00263F29" w:rsidP="00263F29">
      <w:pPr>
        <w:pStyle w:val="ListParagraph"/>
        <w:numPr>
          <w:ilvl w:val="0"/>
          <w:numId w:val="4"/>
        </w:numPr>
        <w:jc w:val="both"/>
      </w:pPr>
      <w:r>
        <w:t xml:space="preserve">The status and type of recommended </w:t>
      </w:r>
      <w:proofErr w:type="gramStart"/>
      <w:r>
        <w:t>treatment;</w:t>
      </w:r>
      <w:proofErr w:type="gramEnd"/>
    </w:p>
    <w:p w14:paraId="5BCAB02A" w14:textId="77777777" w:rsidR="00263F29" w:rsidRDefault="00263F29" w:rsidP="00263F29">
      <w:pPr>
        <w:pStyle w:val="ListParagraph"/>
        <w:numPr>
          <w:ilvl w:val="0"/>
          <w:numId w:val="4"/>
        </w:numPr>
        <w:jc w:val="both"/>
      </w:pPr>
      <w:r>
        <w:t xml:space="preserve">Employment or job </w:t>
      </w:r>
      <w:proofErr w:type="gramStart"/>
      <w:r>
        <w:t>training;</w:t>
      </w:r>
      <w:proofErr w:type="gramEnd"/>
    </w:p>
    <w:p w14:paraId="09D51AB8" w14:textId="77777777" w:rsidR="00263F29" w:rsidRDefault="00263F29" w:rsidP="00263F29">
      <w:pPr>
        <w:pStyle w:val="ListParagraph"/>
        <w:numPr>
          <w:ilvl w:val="0"/>
          <w:numId w:val="4"/>
        </w:numPr>
        <w:jc w:val="both"/>
      </w:pPr>
      <w:r>
        <w:t xml:space="preserve">The status and type of educational </w:t>
      </w:r>
      <w:proofErr w:type="gramStart"/>
      <w:r>
        <w:t>training;</w:t>
      </w:r>
      <w:proofErr w:type="gramEnd"/>
    </w:p>
    <w:p w14:paraId="4F6EC80E" w14:textId="77777777" w:rsidR="00263F29" w:rsidRDefault="00263F29" w:rsidP="00263F29">
      <w:pPr>
        <w:pStyle w:val="ListParagraph"/>
        <w:numPr>
          <w:ilvl w:val="0"/>
          <w:numId w:val="4"/>
        </w:numPr>
        <w:jc w:val="both"/>
      </w:pPr>
      <w:r>
        <w:t xml:space="preserve">Housing </w:t>
      </w:r>
      <w:proofErr w:type="gramStart"/>
      <w:r>
        <w:t>status;</w:t>
      </w:r>
      <w:proofErr w:type="gramEnd"/>
    </w:p>
    <w:p w14:paraId="67FD984D" w14:textId="77777777" w:rsidR="00263F29" w:rsidRDefault="00263F29" w:rsidP="00263F29">
      <w:pPr>
        <w:pStyle w:val="ListParagraph"/>
        <w:numPr>
          <w:ilvl w:val="0"/>
          <w:numId w:val="4"/>
        </w:numPr>
        <w:jc w:val="both"/>
      </w:pPr>
      <w:r>
        <w:t>Any other information the program provider determines may assist in evaluation of the pilot program; and</w:t>
      </w:r>
    </w:p>
    <w:p w14:paraId="06C8AC4D" w14:textId="77777777" w:rsidR="00263F29" w:rsidRDefault="00263F29" w:rsidP="00263F29">
      <w:pPr>
        <w:pStyle w:val="ListParagraph"/>
        <w:numPr>
          <w:ilvl w:val="0"/>
          <w:numId w:val="4"/>
        </w:numPr>
        <w:jc w:val="both"/>
      </w:pPr>
      <w:r>
        <w:t>If the participant has been discharged from the program due to an inability or unwillingness to meet the terms and conditions of the treatment program, including the specific reason for the discharge.</w:t>
      </w:r>
    </w:p>
    <w:p w14:paraId="5B86AFC8" w14:textId="77777777" w:rsidR="00263F29" w:rsidRPr="003618C7" w:rsidRDefault="00263F29" w:rsidP="00263F29">
      <w:pPr>
        <w:ind w:left="720"/>
        <w:jc w:val="both"/>
        <w:rPr>
          <w:b/>
          <w:bCs/>
        </w:rPr>
      </w:pPr>
      <w:r w:rsidRPr="003618C7">
        <w:rPr>
          <w:b/>
          <w:bCs/>
        </w:rPr>
        <w:t>Quarterly reports (first due by April 15, 2023, and thereafter due January 15, April 15, July 15, and October 15 to include:</w:t>
      </w:r>
    </w:p>
    <w:p w14:paraId="59127322" w14:textId="77777777" w:rsidR="00263F29" w:rsidRDefault="00263F29" w:rsidP="00263F29">
      <w:pPr>
        <w:pStyle w:val="ListParagraph"/>
        <w:numPr>
          <w:ilvl w:val="0"/>
          <w:numId w:val="5"/>
        </w:numPr>
        <w:jc w:val="both"/>
      </w:pPr>
      <w:r>
        <w:t xml:space="preserve">Length of time the individual has been a program </w:t>
      </w:r>
      <w:proofErr w:type="gramStart"/>
      <w:r>
        <w:t>participant;</w:t>
      </w:r>
      <w:proofErr w:type="gramEnd"/>
    </w:p>
    <w:p w14:paraId="33D7B346" w14:textId="77777777" w:rsidR="00263F29" w:rsidRDefault="00263F29" w:rsidP="00263F29">
      <w:pPr>
        <w:pStyle w:val="ListParagraph"/>
        <w:numPr>
          <w:ilvl w:val="0"/>
          <w:numId w:val="5"/>
        </w:numPr>
        <w:jc w:val="both"/>
      </w:pPr>
      <w:r>
        <w:t xml:space="preserve">Continuation in the </w:t>
      </w:r>
      <w:proofErr w:type="gramStart"/>
      <w:r>
        <w:t>program;</w:t>
      </w:r>
      <w:proofErr w:type="gramEnd"/>
    </w:p>
    <w:p w14:paraId="750548B0" w14:textId="77777777" w:rsidR="00263F29" w:rsidRDefault="00263F29" w:rsidP="00263F29">
      <w:pPr>
        <w:pStyle w:val="ListParagraph"/>
        <w:numPr>
          <w:ilvl w:val="0"/>
          <w:numId w:val="5"/>
        </w:numPr>
        <w:jc w:val="both"/>
      </w:pPr>
      <w:r>
        <w:t xml:space="preserve">The status and type of recommended </w:t>
      </w:r>
      <w:proofErr w:type="gramStart"/>
      <w:r>
        <w:t>treatment;</w:t>
      </w:r>
      <w:proofErr w:type="gramEnd"/>
    </w:p>
    <w:p w14:paraId="66C273FB" w14:textId="77777777" w:rsidR="00263F29" w:rsidRDefault="00263F29" w:rsidP="00263F29">
      <w:pPr>
        <w:pStyle w:val="ListParagraph"/>
        <w:numPr>
          <w:ilvl w:val="0"/>
          <w:numId w:val="5"/>
        </w:numPr>
        <w:jc w:val="both"/>
      </w:pPr>
      <w:r>
        <w:t xml:space="preserve">Employment or job </w:t>
      </w:r>
      <w:proofErr w:type="gramStart"/>
      <w:r>
        <w:t>training;</w:t>
      </w:r>
      <w:proofErr w:type="gramEnd"/>
    </w:p>
    <w:p w14:paraId="4CE861B0" w14:textId="77777777" w:rsidR="00263F29" w:rsidRDefault="00263F29" w:rsidP="00263F29">
      <w:pPr>
        <w:pStyle w:val="ListParagraph"/>
        <w:numPr>
          <w:ilvl w:val="0"/>
          <w:numId w:val="5"/>
        </w:numPr>
        <w:jc w:val="both"/>
      </w:pPr>
      <w:r>
        <w:t xml:space="preserve">The status and type of educational </w:t>
      </w:r>
      <w:proofErr w:type="gramStart"/>
      <w:r>
        <w:t>training;</w:t>
      </w:r>
      <w:proofErr w:type="gramEnd"/>
    </w:p>
    <w:p w14:paraId="09F8804C" w14:textId="77777777" w:rsidR="00263F29" w:rsidRDefault="00263F29" w:rsidP="00263F29">
      <w:pPr>
        <w:pStyle w:val="ListParagraph"/>
        <w:numPr>
          <w:ilvl w:val="0"/>
          <w:numId w:val="5"/>
        </w:numPr>
        <w:jc w:val="both"/>
      </w:pPr>
      <w:r>
        <w:t xml:space="preserve">Housing </w:t>
      </w:r>
      <w:proofErr w:type="gramStart"/>
      <w:r>
        <w:t>status;</w:t>
      </w:r>
      <w:proofErr w:type="gramEnd"/>
    </w:p>
    <w:p w14:paraId="1D5E918B" w14:textId="77777777" w:rsidR="00263F29" w:rsidRDefault="00263F29" w:rsidP="00263F29">
      <w:pPr>
        <w:pStyle w:val="ListParagraph"/>
        <w:numPr>
          <w:ilvl w:val="0"/>
          <w:numId w:val="5"/>
        </w:numPr>
        <w:jc w:val="both"/>
      </w:pPr>
      <w:r>
        <w:t xml:space="preserve">Any other information the program provider determines may assist in evaluation of the pilot </w:t>
      </w:r>
      <w:proofErr w:type="gramStart"/>
      <w:r>
        <w:t>program;</w:t>
      </w:r>
      <w:proofErr w:type="gramEnd"/>
      <w:r>
        <w:t xml:space="preserve"> </w:t>
      </w:r>
    </w:p>
    <w:p w14:paraId="5002423C" w14:textId="77777777" w:rsidR="00263F29" w:rsidRDefault="00263F29" w:rsidP="00263F29">
      <w:pPr>
        <w:pStyle w:val="ListParagraph"/>
        <w:numPr>
          <w:ilvl w:val="0"/>
          <w:numId w:val="5"/>
        </w:numPr>
        <w:jc w:val="both"/>
      </w:pPr>
      <w:r>
        <w:t xml:space="preserve">If the participant has been discharged from the program due to an inability or unwillingness to meet the terms and conditions of the treatment program, including the specific reason for the </w:t>
      </w:r>
      <w:proofErr w:type="gramStart"/>
      <w:r>
        <w:t>discharge;</w:t>
      </w:r>
      <w:proofErr w:type="gramEnd"/>
    </w:p>
    <w:p w14:paraId="01B3CF3E" w14:textId="77777777" w:rsidR="00263F29" w:rsidRDefault="00263F29" w:rsidP="00263F29">
      <w:pPr>
        <w:pStyle w:val="ListParagraph"/>
        <w:numPr>
          <w:ilvl w:val="0"/>
          <w:numId w:val="5"/>
        </w:numPr>
        <w:jc w:val="both"/>
      </w:pPr>
      <w:r>
        <w:t xml:space="preserve">The number of clinical assessments performed by the program </w:t>
      </w:r>
      <w:proofErr w:type="gramStart"/>
      <w:r>
        <w:t>provider;</w:t>
      </w:r>
      <w:proofErr w:type="gramEnd"/>
    </w:p>
    <w:p w14:paraId="6A223006" w14:textId="77777777" w:rsidR="00263F29" w:rsidRDefault="00263F29" w:rsidP="00263F29">
      <w:pPr>
        <w:pStyle w:val="ListParagraph"/>
        <w:numPr>
          <w:ilvl w:val="0"/>
          <w:numId w:val="5"/>
        </w:numPr>
        <w:jc w:val="both"/>
      </w:pPr>
      <w:r>
        <w:t xml:space="preserve">The total number of individuals participating in the behavioral health conditional dismissal program with that </w:t>
      </w:r>
      <w:proofErr w:type="gramStart"/>
      <w:r>
        <w:t>provider;</w:t>
      </w:r>
      <w:proofErr w:type="gramEnd"/>
    </w:p>
    <w:p w14:paraId="3C99405B" w14:textId="77777777" w:rsidR="00263F29" w:rsidRDefault="00263F29" w:rsidP="00263F29">
      <w:pPr>
        <w:pStyle w:val="ListParagraph"/>
        <w:numPr>
          <w:ilvl w:val="0"/>
          <w:numId w:val="5"/>
        </w:numPr>
        <w:jc w:val="both"/>
      </w:pPr>
      <w:r>
        <w:t xml:space="preserve">The number of individuals who remain in compliance with the terms and conditions of the treatment </w:t>
      </w:r>
      <w:proofErr w:type="gramStart"/>
      <w:r>
        <w:t>program;</w:t>
      </w:r>
      <w:proofErr w:type="gramEnd"/>
    </w:p>
    <w:p w14:paraId="5E46BC4C" w14:textId="77777777" w:rsidR="00263F29" w:rsidRDefault="00263F29" w:rsidP="00263F29">
      <w:pPr>
        <w:pStyle w:val="ListParagraph"/>
        <w:numPr>
          <w:ilvl w:val="0"/>
          <w:numId w:val="5"/>
        </w:numPr>
        <w:jc w:val="both"/>
      </w:pPr>
      <w:r>
        <w:t xml:space="preserve">The number of individuals who have been discharged from the program due to an inability or unwillingness to meet the terms and conditions of the treatment program, including the specific reason for the </w:t>
      </w:r>
      <w:proofErr w:type="gramStart"/>
      <w:r>
        <w:t>discharge;</w:t>
      </w:r>
      <w:proofErr w:type="gramEnd"/>
    </w:p>
    <w:p w14:paraId="5AB29643" w14:textId="77777777" w:rsidR="00263F29" w:rsidRDefault="00263F29" w:rsidP="00263F29">
      <w:pPr>
        <w:pStyle w:val="ListParagraph"/>
        <w:numPr>
          <w:ilvl w:val="0"/>
          <w:numId w:val="5"/>
        </w:numPr>
        <w:jc w:val="both"/>
      </w:pPr>
      <w:r>
        <w:t xml:space="preserve"> For any individual discharged </w:t>
      </w:r>
      <w:r w:rsidRPr="008822C2">
        <w:t>due to an inability or unwillingness to meet the terms and conditions of the treatment program</w:t>
      </w:r>
      <w:r>
        <w:t xml:space="preserve">, the length of time the individual participated in the </w:t>
      </w:r>
      <w:proofErr w:type="gramStart"/>
      <w:r>
        <w:t>program;</w:t>
      </w:r>
      <w:proofErr w:type="gramEnd"/>
    </w:p>
    <w:p w14:paraId="103B5C56" w14:textId="77777777" w:rsidR="00263F29" w:rsidRDefault="00263F29" w:rsidP="00263F29">
      <w:pPr>
        <w:pStyle w:val="ListParagraph"/>
        <w:numPr>
          <w:ilvl w:val="0"/>
          <w:numId w:val="5"/>
        </w:numPr>
        <w:jc w:val="both"/>
      </w:pPr>
      <w:r>
        <w:t xml:space="preserve">The number of individuals who have been discharged from the program upon successful completion of the treatment program </w:t>
      </w:r>
      <w:proofErr w:type="gramStart"/>
      <w:r>
        <w:t>requirements;</w:t>
      </w:r>
      <w:proofErr w:type="gramEnd"/>
    </w:p>
    <w:p w14:paraId="50521A78" w14:textId="77777777" w:rsidR="00263F29" w:rsidRDefault="00263F29" w:rsidP="00263F29">
      <w:pPr>
        <w:pStyle w:val="ListParagraph"/>
        <w:numPr>
          <w:ilvl w:val="0"/>
          <w:numId w:val="5"/>
        </w:numPr>
        <w:jc w:val="both"/>
      </w:pPr>
      <w:r>
        <w:lastRenderedPageBreak/>
        <w:t xml:space="preserve">The number of individuals who have received medication-assisted treatment and the result of that </w:t>
      </w:r>
      <w:proofErr w:type="gramStart"/>
      <w:r>
        <w:t>treatment;</w:t>
      </w:r>
      <w:proofErr w:type="gramEnd"/>
    </w:p>
    <w:p w14:paraId="78CE5584" w14:textId="77777777" w:rsidR="00263F29" w:rsidRDefault="00263F29" w:rsidP="00263F29">
      <w:pPr>
        <w:pStyle w:val="ListParagraph"/>
        <w:numPr>
          <w:ilvl w:val="0"/>
          <w:numId w:val="5"/>
        </w:numPr>
        <w:jc w:val="both"/>
      </w:pPr>
      <w:r>
        <w:t>The number of individuals who have completed a recommended job skills or job training program; and</w:t>
      </w:r>
    </w:p>
    <w:p w14:paraId="1EB3A6AF" w14:textId="77777777" w:rsidR="00263F29" w:rsidRDefault="00263F29" w:rsidP="00263F29">
      <w:pPr>
        <w:pStyle w:val="ListParagraph"/>
        <w:numPr>
          <w:ilvl w:val="0"/>
          <w:numId w:val="5"/>
        </w:numPr>
        <w:jc w:val="both"/>
      </w:pPr>
      <w:r>
        <w:t>The number of individuals who have completed a recommended educational component of the program.</w:t>
      </w:r>
    </w:p>
    <w:p w14:paraId="6D0E599E" w14:textId="77777777" w:rsidR="00263F29" w:rsidRDefault="00263F29" w:rsidP="00263F29">
      <w:pPr>
        <w:ind w:left="720"/>
        <w:jc w:val="both"/>
        <w:rPr>
          <w:b/>
          <w:bCs/>
        </w:rPr>
      </w:pPr>
      <w:r>
        <w:rPr>
          <w:b/>
          <w:bCs/>
        </w:rPr>
        <w:t xml:space="preserve">Final report shall be submitted for each program participant no later than 30 days following discharge from the program:  </w:t>
      </w:r>
    </w:p>
    <w:p w14:paraId="5A90FEA1" w14:textId="77777777" w:rsidR="00263F29" w:rsidRDefault="00263F29" w:rsidP="00263F29">
      <w:pPr>
        <w:pStyle w:val="ListParagraph"/>
        <w:numPr>
          <w:ilvl w:val="0"/>
          <w:numId w:val="6"/>
        </w:numPr>
        <w:jc w:val="both"/>
      </w:pPr>
      <w:r>
        <w:t>If the discharge from the program was due to an inability or unwillingness to meet the terms and conditions of the treatment program the:</w:t>
      </w:r>
    </w:p>
    <w:p w14:paraId="078546A0" w14:textId="77777777" w:rsidR="00263F29" w:rsidRDefault="00263F29" w:rsidP="00263F29">
      <w:pPr>
        <w:pStyle w:val="ListParagraph"/>
        <w:jc w:val="both"/>
      </w:pPr>
    </w:p>
    <w:p w14:paraId="1EF31D54" w14:textId="77777777" w:rsidR="00263F29" w:rsidRDefault="00263F29" w:rsidP="00263F29">
      <w:pPr>
        <w:pStyle w:val="ListParagraph"/>
        <w:jc w:val="both"/>
      </w:pPr>
      <w:r>
        <w:t xml:space="preserve"> a. Specific reason for the </w:t>
      </w:r>
      <w:proofErr w:type="gramStart"/>
      <w:r>
        <w:t>discharge;</w:t>
      </w:r>
      <w:proofErr w:type="gramEnd"/>
    </w:p>
    <w:p w14:paraId="6FB8D1A4" w14:textId="77777777" w:rsidR="00263F29" w:rsidRDefault="00263F29" w:rsidP="00263F29">
      <w:pPr>
        <w:pStyle w:val="ListParagraph"/>
        <w:jc w:val="both"/>
      </w:pPr>
      <w:r>
        <w:t xml:space="preserve"> b. Length of time the individual participated in the </w:t>
      </w:r>
      <w:proofErr w:type="gramStart"/>
      <w:r>
        <w:t>program;</w:t>
      </w:r>
      <w:proofErr w:type="gramEnd"/>
    </w:p>
    <w:p w14:paraId="204F6E47" w14:textId="77777777" w:rsidR="00263F29" w:rsidRDefault="00263F29" w:rsidP="00263F29">
      <w:pPr>
        <w:pStyle w:val="ListParagraph"/>
        <w:jc w:val="both"/>
      </w:pPr>
      <w:r>
        <w:t xml:space="preserve"> c. Goals met during the participation </w:t>
      </w:r>
      <w:proofErr w:type="gramStart"/>
      <w:r>
        <w:t>period;</w:t>
      </w:r>
      <w:proofErr w:type="gramEnd"/>
    </w:p>
    <w:p w14:paraId="399E9EA0" w14:textId="7078817A" w:rsidR="00263F29" w:rsidRDefault="00263F29" w:rsidP="00263F29">
      <w:pPr>
        <w:pStyle w:val="ListParagraph"/>
        <w:jc w:val="both"/>
      </w:pPr>
      <w:r>
        <w:t xml:space="preserve"> d. Identified barriers to completion of the program, if known; and</w:t>
      </w:r>
    </w:p>
    <w:p w14:paraId="7D9C26E8" w14:textId="727B7A8F" w:rsidR="00263F29" w:rsidRDefault="74C62094" w:rsidP="00263F29">
      <w:pPr>
        <w:pStyle w:val="ListParagraph"/>
        <w:jc w:val="both"/>
      </w:pPr>
      <w:r>
        <w:t xml:space="preserve">e. </w:t>
      </w:r>
      <w:r w:rsidR="00263F29">
        <w:t>Recommended adjustments to the behavioral health conditional dismissal program that could provide a greater probability of successful completion to similar participants; and</w:t>
      </w:r>
    </w:p>
    <w:p w14:paraId="6A8D9D6C" w14:textId="77777777" w:rsidR="00263F29" w:rsidRDefault="00263F29" w:rsidP="00263F29">
      <w:pPr>
        <w:ind w:left="720" w:hanging="525"/>
        <w:jc w:val="both"/>
      </w:pPr>
      <w:r>
        <w:t>2.</w:t>
      </w:r>
      <w:r>
        <w:tab/>
        <w:t xml:space="preserve"> If the discharge from the program occurred upon successful completion of the program           requirements:</w:t>
      </w:r>
    </w:p>
    <w:p w14:paraId="55DD1DE9" w14:textId="77777777" w:rsidR="00263F29" w:rsidRDefault="00263F29" w:rsidP="00263F29">
      <w:pPr>
        <w:spacing w:after="0" w:line="240" w:lineRule="auto"/>
        <w:ind w:firstLine="720"/>
        <w:jc w:val="both"/>
      </w:pPr>
      <w:r>
        <w:t xml:space="preserve"> a. The length of time the individual participated in the </w:t>
      </w:r>
      <w:proofErr w:type="gramStart"/>
      <w:r>
        <w:t>program;</w:t>
      </w:r>
      <w:proofErr w:type="gramEnd"/>
    </w:p>
    <w:p w14:paraId="1ED16025" w14:textId="77777777" w:rsidR="00263F29" w:rsidRDefault="00263F29" w:rsidP="00263F29">
      <w:pPr>
        <w:spacing w:after="0" w:line="240" w:lineRule="auto"/>
        <w:ind w:firstLine="720"/>
        <w:jc w:val="both"/>
      </w:pPr>
      <w:r>
        <w:t xml:space="preserve"> b. A summary of the specific programs completed, and goals attained by the </w:t>
      </w:r>
      <w:proofErr w:type="gramStart"/>
      <w:r>
        <w:t>participant;</w:t>
      </w:r>
      <w:proofErr w:type="gramEnd"/>
    </w:p>
    <w:p w14:paraId="61621F84" w14:textId="77777777" w:rsidR="00263F29" w:rsidRDefault="00263F29" w:rsidP="00263F29">
      <w:pPr>
        <w:spacing w:after="0" w:line="240" w:lineRule="auto"/>
        <w:ind w:firstLine="720"/>
        <w:jc w:val="both"/>
      </w:pPr>
      <w:r>
        <w:t xml:space="preserve"> c. What continued treatment, if any, is recommended; and</w:t>
      </w:r>
    </w:p>
    <w:p w14:paraId="573AA182" w14:textId="593DC376" w:rsidR="00263F29" w:rsidRDefault="00263F29" w:rsidP="00263F29">
      <w:pPr>
        <w:spacing w:after="0" w:line="240" w:lineRule="auto"/>
        <w:ind w:left="720"/>
        <w:jc w:val="both"/>
      </w:pPr>
      <w:r>
        <w:t>d.</w:t>
      </w:r>
      <w:r w:rsidR="273ACBB9">
        <w:t xml:space="preserve"> </w:t>
      </w:r>
      <w:r>
        <w:t>Recommended adjustments to the behavioral health conditional dismissal program that could provide greater benefit to similar participants.</w:t>
      </w:r>
    </w:p>
    <w:p w14:paraId="7F52EFCF" w14:textId="77777777" w:rsidR="00263F29" w:rsidRDefault="00263F29" w:rsidP="00263F29">
      <w:pPr>
        <w:spacing w:after="0" w:line="240" w:lineRule="auto"/>
        <w:ind w:left="720"/>
        <w:jc w:val="both"/>
      </w:pPr>
    </w:p>
    <w:p w14:paraId="2BC6D482" w14:textId="77777777" w:rsidR="00263F29" w:rsidRDefault="00263F29" w:rsidP="00263F29">
      <w:pPr>
        <w:spacing w:after="0" w:line="240" w:lineRule="auto"/>
        <w:ind w:left="720"/>
        <w:jc w:val="both"/>
        <w:rPr>
          <w:b/>
          <w:bCs/>
        </w:rPr>
      </w:pPr>
      <w:r>
        <w:rPr>
          <w:b/>
          <w:bCs/>
        </w:rPr>
        <w:t xml:space="preserve">Treatment providers must also submit </w:t>
      </w:r>
      <w:r w:rsidRPr="00340A74">
        <w:rPr>
          <w:b/>
          <w:bCs/>
        </w:rPr>
        <w:t>periodic progress reports to the attorney for the Commonwealth and the attorney for the</w:t>
      </w:r>
      <w:r>
        <w:rPr>
          <w:b/>
          <w:bCs/>
        </w:rPr>
        <w:t xml:space="preserve"> </w:t>
      </w:r>
      <w:r w:rsidRPr="00340A74">
        <w:rPr>
          <w:b/>
          <w:bCs/>
        </w:rPr>
        <w:t>participant according to the following schedule:</w:t>
      </w:r>
    </w:p>
    <w:p w14:paraId="05D33FE5" w14:textId="77777777" w:rsidR="00263F29" w:rsidRPr="00340A74" w:rsidRDefault="00263F29" w:rsidP="00263F29">
      <w:pPr>
        <w:spacing w:after="0" w:line="240" w:lineRule="auto"/>
        <w:ind w:left="720"/>
        <w:jc w:val="both"/>
        <w:rPr>
          <w:b/>
          <w:bCs/>
        </w:rPr>
      </w:pPr>
    </w:p>
    <w:p w14:paraId="1446DE4E" w14:textId="77777777" w:rsidR="00263F29" w:rsidRPr="00340A74" w:rsidRDefault="00263F29" w:rsidP="00263F29">
      <w:pPr>
        <w:spacing w:after="0" w:line="240" w:lineRule="auto"/>
        <w:ind w:left="720"/>
        <w:jc w:val="both"/>
      </w:pPr>
      <w:r w:rsidRPr="00340A74">
        <w:t xml:space="preserve">1. An initial report within fourteen (14) days of the initiation of </w:t>
      </w:r>
      <w:proofErr w:type="gramStart"/>
      <w:r w:rsidRPr="00340A74">
        <w:t>treatment;</w:t>
      </w:r>
      <w:proofErr w:type="gramEnd"/>
    </w:p>
    <w:p w14:paraId="7DCB0CF5" w14:textId="77777777" w:rsidR="00263F29" w:rsidRPr="00340A74" w:rsidRDefault="00263F29" w:rsidP="00263F29">
      <w:pPr>
        <w:spacing w:after="0" w:line="240" w:lineRule="auto"/>
        <w:ind w:left="720"/>
        <w:jc w:val="both"/>
      </w:pPr>
      <w:r w:rsidRPr="00340A74">
        <w:t>2. A follow-up report within twenty-eight (28) days after submission of the initial fourteen (14)</w:t>
      </w:r>
    </w:p>
    <w:p w14:paraId="71BCFCCD" w14:textId="77777777" w:rsidR="00263F29" w:rsidRPr="00340A74" w:rsidRDefault="00263F29" w:rsidP="00263F29">
      <w:pPr>
        <w:spacing w:after="0" w:line="240" w:lineRule="auto"/>
        <w:ind w:left="720"/>
        <w:jc w:val="both"/>
      </w:pPr>
      <w:r>
        <w:t xml:space="preserve">    </w:t>
      </w:r>
      <w:r w:rsidRPr="00340A74">
        <w:t xml:space="preserve">day </w:t>
      </w:r>
      <w:proofErr w:type="gramStart"/>
      <w:r w:rsidRPr="00340A74">
        <w:t>report;</w:t>
      </w:r>
      <w:proofErr w:type="gramEnd"/>
    </w:p>
    <w:p w14:paraId="7A3B3097" w14:textId="77777777" w:rsidR="00263F29" w:rsidRPr="00340A74" w:rsidRDefault="00263F29" w:rsidP="00263F29">
      <w:pPr>
        <w:spacing w:after="0" w:line="240" w:lineRule="auto"/>
        <w:ind w:left="720"/>
        <w:jc w:val="both"/>
      </w:pPr>
      <w:r w:rsidRPr="00340A74">
        <w:t>3. Subsequent reports on a quarterly basis throughout the course of treatment beginning April</w:t>
      </w:r>
    </w:p>
    <w:p w14:paraId="4BC41541" w14:textId="77777777" w:rsidR="00263F29" w:rsidRPr="00340A74" w:rsidRDefault="00263F29" w:rsidP="00263F29">
      <w:pPr>
        <w:spacing w:after="0" w:line="240" w:lineRule="auto"/>
        <w:ind w:left="720"/>
        <w:jc w:val="both"/>
      </w:pPr>
      <w:r>
        <w:t xml:space="preserve">    </w:t>
      </w:r>
      <w:r w:rsidRPr="00340A74">
        <w:t>15, 2023, with reports due thereafter on January 15, April 15, July 15, and October 15 of each</w:t>
      </w:r>
    </w:p>
    <w:p w14:paraId="3C7036F4" w14:textId="77777777" w:rsidR="00263F29" w:rsidRPr="00340A74" w:rsidRDefault="00263F29" w:rsidP="00263F29">
      <w:pPr>
        <w:spacing w:after="0" w:line="240" w:lineRule="auto"/>
        <w:ind w:left="720"/>
        <w:jc w:val="both"/>
      </w:pPr>
      <w:r>
        <w:t xml:space="preserve">    </w:t>
      </w:r>
      <w:r w:rsidRPr="00340A74">
        <w:t>year of the participation in the pilot program; and</w:t>
      </w:r>
    </w:p>
    <w:p w14:paraId="37F90E66" w14:textId="77777777" w:rsidR="00263F29" w:rsidRPr="00340A74" w:rsidRDefault="00263F29" w:rsidP="00263F29">
      <w:pPr>
        <w:spacing w:after="0" w:line="240" w:lineRule="auto"/>
        <w:ind w:left="720"/>
        <w:jc w:val="both"/>
      </w:pPr>
      <w:r w:rsidRPr="00340A74">
        <w:t>4. A final report within thirty (30) days of the successful completion of the program.</w:t>
      </w:r>
    </w:p>
    <w:p w14:paraId="68AA3E23" w14:textId="77777777" w:rsidR="00263F29" w:rsidRDefault="00263F29" w:rsidP="00263F29">
      <w:pPr>
        <w:ind w:left="720"/>
        <w:jc w:val="center"/>
        <w:rPr>
          <w:b/>
          <w:bCs/>
          <w:u w:val="single"/>
        </w:rPr>
      </w:pPr>
    </w:p>
    <w:p w14:paraId="661EB1CF" w14:textId="77777777" w:rsidR="00263F29" w:rsidRPr="009008AE" w:rsidRDefault="00263F29" w:rsidP="00263F29">
      <w:pPr>
        <w:ind w:left="720"/>
        <w:jc w:val="center"/>
        <w:rPr>
          <w:b/>
          <w:bCs/>
          <w:u w:val="single"/>
        </w:rPr>
      </w:pPr>
      <w:r w:rsidRPr="009008AE">
        <w:rPr>
          <w:b/>
          <w:bCs/>
          <w:u w:val="single"/>
        </w:rPr>
        <w:t>County/Commonwealth Attorney</w:t>
      </w:r>
      <w:r>
        <w:rPr>
          <w:b/>
          <w:bCs/>
          <w:u w:val="single"/>
        </w:rPr>
        <w:t>s’ Reporting Requirements</w:t>
      </w:r>
    </w:p>
    <w:p w14:paraId="42983E05" w14:textId="77777777" w:rsidR="00263F29" w:rsidRPr="003618C7" w:rsidRDefault="00263F29" w:rsidP="00263F29">
      <w:pPr>
        <w:ind w:left="720"/>
        <w:jc w:val="both"/>
        <w:rPr>
          <w:b/>
          <w:bCs/>
        </w:rPr>
      </w:pPr>
      <w:r w:rsidRPr="003618C7">
        <w:rPr>
          <w:b/>
          <w:bCs/>
        </w:rPr>
        <w:t>Quarterly reports (first due by April 15, 2023, and thereafter due January 15, April 15, July 15, and October 15 to include:</w:t>
      </w:r>
    </w:p>
    <w:p w14:paraId="65902E44" w14:textId="77777777" w:rsidR="00263F29" w:rsidRDefault="00263F29" w:rsidP="00263F29">
      <w:pPr>
        <w:pStyle w:val="ListParagraph"/>
        <w:numPr>
          <w:ilvl w:val="0"/>
          <w:numId w:val="7"/>
        </w:numPr>
        <w:jc w:val="both"/>
      </w:pPr>
      <w:r>
        <w:t xml:space="preserve">The number of eligible defendants, including the defendant's race, ethnicity, and gender, who were offered participation in the behavioral health conditional dismissal program but declined to </w:t>
      </w:r>
      <w:proofErr w:type="gramStart"/>
      <w:r>
        <w:t>participate;</w:t>
      </w:r>
      <w:proofErr w:type="gramEnd"/>
    </w:p>
    <w:p w14:paraId="674BC87C" w14:textId="77777777" w:rsidR="00263F29" w:rsidRDefault="00263F29" w:rsidP="00263F29">
      <w:pPr>
        <w:pStyle w:val="ListParagraph"/>
        <w:numPr>
          <w:ilvl w:val="0"/>
          <w:numId w:val="7"/>
        </w:numPr>
        <w:jc w:val="both"/>
      </w:pPr>
      <w:r>
        <w:lastRenderedPageBreak/>
        <w:t xml:space="preserve">The number of eligible defendants, including the defendant's race, ethnicity, and gender, who sought to participate in the program but whose participation was not agreed to by the attorney for the </w:t>
      </w:r>
      <w:proofErr w:type="gramStart"/>
      <w:r>
        <w:t>Commonwealth;</w:t>
      </w:r>
      <w:proofErr w:type="gramEnd"/>
    </w:p>
    <w:p w14:paraId="61571875" w14:textId="77777777" w:rsidR="00263F29" w:rsidRDefault="00263F29" w:rsidP="00263F29">
      <w:pPr>
        <w:pStyle w:val="ListParagraph"/>
        <w:numPr>
          <w:ilvl w:val="0"/>
          <w:numId w:val="7"/>
        </w:numPr>
        <w:jc w:val="both"/>
      </w:pPr>
      <w:r>
        <w:t>The number of victims, if there is an identified victim, who did not participate in the process; and</w:t>
      </w:r>
    </w:p>
    <w:p w14:paraId="6552316B" w14:textId="77777777" w:rsidR="00263F29" w:rsidRDefault="00263F29" w:rsidP="00263F29">
      <w:pPr>
        <w:pStyle w:val="ListParagraph"/>
        <w:numPr>
          <w:ilvl w:val="0"/>
          <w:numId w:val="7"/>
        </w:numPr>
        <w:jc w:val="both"/>
      </w:pPr>
      <w:r>
        <w:t>The number of victims, if there is an identified victim, who did not agree to the defendant's participation in the program.</w:t>
      </w:r>
    </w:p>
    <w:p w14:paraId="1D3ECBD0" w14:textId="2450066B" w:rsidR="00263F29" w:rsidRDefault="00263F29" w:rsidP="00263F29">
      <w:pPr>
        <w:pStyle w:val="ListParagraph"/>
        <w:numPr>
          <w:ilvl w:val="0"/>
          <w:numId w:val="7"/>
        </w:numPr>
        <w:jc w:val="both"/>
      </w:pPr>
      <w:r w:rsidRPr="00AF7E0E">
        <w:t>If the attorney for the Commonwealth did not agree to an eligible defendant's participation in the behavioral health conditional dismissal program, he or she shall include in each quarterly report to the Administrative Office of the Courts the specific offenses charged for that defendant, and the substantial and compelling reasons, based upon delineated facts specific to the defendant, why the defendant was denied participation in the program.</w:t>
      </w:r>
    </w:p>
    <w:p w14:paraId="2D12F5D0" w14:textId="77777777" w:rsidR="00E45AF6" w:rsidRDefault="00E45AF6" w:rsidP="00E45AF6">
      <w:pPr>
        <w:pStyle w:val="ListParagraph"/>
        <w:jc w:val="both"/>
      </w:pPr>
    </w:p>
    <w:p w14:paraId="2F50EF66" w14:textId="11C33684" w:rsidR="000E59B5" w:rsidRDefault="00B70B44" w:rsidP="00E45AF6">
      <w:pPr>
        <w:jc w:val="center"/>
        <w:rPr>
          <w:b/>
          <w:bCs/>
          <w:u w:val="single"/>
        </w:rPr>
      </w:pPr>
      <w:r w:rsidRPr="00B70B44">
        <w:rPr>
          <w:b/>
          <w:bCs/>
          <w:u w:val="single"/>
        </w:rPr>
        <w:t>Behavioral Health Conditional Dismissal Program Implementation Council</w:t>
      </w:r>
    </w:p>
    <w:p w14:paraId="6A1AA51B" w14:textId="77777777" w:rsidR="00B70B44" w:rsidRPr="00B70B44" w:rsidRDefault="00B70B44" w:rsidP="00E45AF6">
      <w:pPr>
        <w:numPr>
          <w:ilvl w:val="0"/>
          <w:numId w:val="13"/>
        </w:numPr>
        <w:spacing w:after="0"/>
      </w:pPr>
      <w:r w:rsidRPr="00B70B44">
        <w:t xml:space="preserve">Meets quarterly to assist with implementation </w:t>
      </w:r>
    </w:p>
    <w:p w14:paraId="1B3CEF60" w14:textId="77777777" w:rsidR="00B70B44" w:rsidRPr="00B70B44" w:rsidRDefault="00B70B44" w:rsidP="00E45AF6">
      <w:pPr>
        <w:numPr>
          <w:ilvl w:val="0"/>
          <w:numId w:val="13"/>
        </w:numPr>
        <w:spacing w:after="0"/>
      </w:pPr>
      <w:r w:rsidRPr="00B70B44">
        <w:t xml:space="preserve">Membership includes:  </w:t>
      </w:r>
    </w:p>
    <w:p w14:paraId="0BB8054D" w14:textId="77777777" w:rsidR="00B70B44" w:rsidRPr="00E45AF6" w:rsidRDefault="00B70B44" w:rsidP="00E45AF6">
      <w:pPr>
        <w:numPr>
          <w:ilvl w:val="1"/>
          <w:numId w:val="13"/>
        </w:numPr>
        <w:spacing w:after="0"/>
      </w:pPr>
      <w:r w:rsidRPr="00E45AF6">
        <w:t>Chair: Executive Director of ODCP</w:t>
      </w:r>
    </w:p>
    <w:p w14:paraId="2DB02321" w14:textId="77777777" w:rsidR="00B70B44" w:rsidRPr="00E45AF6" w:rsidRDefault="00B70B44" w:rsidP="00E45AF6">
      <w:pPr>
        <w:numPr>
          <w:ilvl w:val="1"/>
          <w:numId w:val="13"/>
        </w:numPr>
        <w:spacing w:after="0"/>
      </w:pPr>
      <w:r w:rsidRPr="00E45AF6">
        <w:t>Director of AOC</w:t>
      </w:r>
    </w:p>
    <w:p w14:paraId="59407FC1" w14:textId="77777777" w:rsidR="00B70B44" w:rsidRPr="00E45AF6" w:rsidRDefault="00B70B44" w:rsidP="00E45AF6">
      <w:pPr>
        <w:numPr>
          <w:ilvl w:val="1"/>
          <w:numId w:val="13"/>
        </w:numPr>
        <w:spacing w:after="0"/>
      </w:pPr>
      <w:r w:rsidRPr="00E45AF6">
        <w:t>Commissioner of BHDID</w:t>
      </w:r>
    </w:p>
    <w:p w14:paraId="1A71F5FE" w14:textId="77777777" w:rsidR="00B70B44" w:rsidRPr="00E45AF6" w:rsidRDefault="00B70B44" w:rsidP="00E45AF6">
      <w:pPr>
        <w:numPr>
          <w:ilvl w:val="1"/>
          <w:numId w:val="13"/>
        </w:numPr>
        <w:spacing w:after="0"/>
      </w:pPr>
      <w:r w:rsidRPr="00E45AF6">
        <w:t>Commissioner of Medicaid</w:t>
      </w:r>
    </w:p>
    <w:p w14:paraId="20F6D3D0" w14:textId="77777777" w:rsidR="00B70B44" w:rsidRPr="00E45AF6" w:rsidRDefault="00B70B44" w:rsidP="00E45AF6">
      <w:pPr>
        <w:numPr>
          <w:ilvl w:val="1"/>
          <w:numId w:val="13"/>
        </w:numPr>
        <w:spacing w:after="0"/>
      </w:pPr>
      <w:r w:rsidRPr="00E45AF6">
        <w:t>Kentucky Adult Education</w:t>
      </w:r>
    </w:p>
    <w:p w14:paraId="3828916E" w14:textId="77777777" w:rsidR="00B70B44" w:rsidRPr="00E45AF6" w:rsidRDefault="00B70B44" w:rsidP="00E45AF6">
      <w:pPr>
        <w:numPr>
          <w:ilvl w:val="1"/>
          <w:numId w:val="13"/>
        </w:numPr>
        <w:spacing w:after="0"/>
      </w:pPr>
      <w:r w:rsidRPr="00E45AF6">
        <w:t>Public Advocate</w:t>
      </w:r>
    </w:p>
    <w:p w14:paraId="075FEBA7" w14:textId="77777777" w:rsidR="00B70B44" w:rsidRPr="00E45AF6" w:rsidRDefault="00B70B44" w:rsidP="00E45AF6">
      <w:pPr>
        <w:numPr>
          <w:ilvl w:val="1"/>
          <w:numId w:val="13"/>
        </w:numPr>
        <w:spacing w:after="0"/>
      </w:pPr>
      <w:r w:rsidRPr="00E45AF6">
        <w:t>Member of Commonwealth's Attorney Assoc.</w:t>
      </w:r>
    </w:p>
    <w:p w14:paraId="05E00C1C" w14:textId="77777777" w:rsidR="00B70B44" w:rsidRPr="00E45AF6" w:rsidRDefault="00B70B44" w:rsidP="00E45AF6">
      <w:pPr>
        <w:numPr>
          <w:ilvl w:val="1"/>
          <w:numId w:val="13"/>
        </w:numPr>
        <w:spacing w:after="0"/>
      </w:pPr>
      <w:r w:rsidRPr="00E45AF6">
        <w:t>Member of Kentucky County Attorney’s Assoc.</w:t>
      </w:r>
    </w:p>
    <w:p w14:paraId="7F3D489D" w14:textId="77777777" w:rsidR="00B70B44" w:rsidRPr="00E45AF6" w:rsidRDefault="00B70B44" w:rsidP="00E45AF6">
      <w:pPr>
        <w:numPr>
          <w:ilvl w:val="1"/>
          <w:numId w:val="13"/>
        </w:numPr>
        <w:spacing w:after="0"/>
      </w:pPr>
      <w:r w:rsidRPr="00E45AF6">
        <w:t>Circuit Judge</w:t>
      </w:r>
    </w:p>
    <w:p w14:paraId="6D17A2F2" w14:textId="77777777" w:rsidR="00B70B44" w:rsidRPr="00E45AF6" w:rsidRDefault="00B70B44" w:rsidP="00E45AF6">
      <w:pPr>
        <w:numPr>
          <w:ilvl w:val="1"/>
          <w:numId w:val="13"/>
        </w:numPr>
        <w:spacing w:after="0"/>
      </w:pPr>
      <w:r w:rsidRPr="00E45AF6">
        <w:t xml:space="preserve">District Judge </w:t>
      </w:r>
    </w:p>
    <w:p w14:paraId="3ED31E1E" w14:textId="77777777" w:rsidR="00B70B44" w:rsidRPr="00E45AF6" w:rsidRDefault="00B70B44" w:rsidP="00E45AF6">
      <w:pPr>
        <w:numPr>
          <w:ilvl w:val="1"/>
          <w:numId w:val="13"/>
        </w:numPr>
        <w:spacing w:after="0"/>
      </w:pPr>
      <w:r w:rsidRPr="00E45AF6">
        <w:t>Executive Director of Jailer’s Assoc.</w:t>
      </w:r>
    </w:p>
    <w:p w14:paraId="443736A5" w14:textId="77777777" w:rsidR="00B70B44" w:rsidRPr="00E45AF6" w:rsidRDefault="00B70B44" w:rsidP="00E45AF6">
      <w:pPr>
        <w:numPr>
          <w:ilvl w:val="1"/>
          <w:numId w:val="13"/>
        </w:numPr>
        <w:spacing w:after="0"/>
      </w:pPr>
      <w:r w:rsidRPr="00E45AF6">
        <w:t>Two representatives selected by the Kentucky Assoc. of Regional Programs (one in substance abuse recovery and other treated for mental health disorder)</w:t>
      </w:r>
    </w:p>
    <w:p w14:paraId="090F0F2B" w14:textId="77777777" w:rsidR="00B70B44" w:rsidRPr="000E59B5" w:rsidRDefault="00B70B44">
      <w:pPr>
        <w:rPr>
          <w:b/>
          <w:bCs/>
          <w:u w:val="single"/>
        </w:rPr>
      </w:pPr>
    </w:p>
    <w:sectPr w:rsidR="00B70B44" w:rsidRPr="000E5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D07"/>
    <w:multiLevelType w:val="hybridMultilevel"/>
    <w:tmpl w:val="9D5426A4"/>
    <w:lvl w:ilvl="0" w:tplc="D1EE5432">
      <w:start w:val="1"/>
      <w:numFmt w:val="bullet"/>
      <w:lvlText w:val="•"/>
      <w:lvlJc w:val="left"/>
      <w:pPr>
        <w:tabs>
          <w:tab w:val="num" w:pos="720"/>
        </w:tabs>
        <w:ind w:left="720" w:hanging="360"/>
      </w:pPr>
      <w:rPr>
        <w:rFonts w:ascii="Arial" w:hAnsi="Arial" w:hint="default"/>
      </w:rPr>
    </w:lvl>
    <w:lvl w:ilvl="1" w:tplc="803AD3DA" w:tentative="1">
      <w:start w:val="1"/>
      <w:numFmt w:val="bullet"/>
      <w:lvlText w:val="•"/>
      <w:lvlJc w:val="left"/>
      <w:pPr>
        <w:tabs>
          <w:tab w:val="num" w:pos="1440"/>
        </w:tabs>
        <w:ind w:left="1440" w:hanging="360"/>
      </w:pPr>
      <w:rPr>
        <w:rFonts w:ascii="Arial" w:hAnsi="Arial" w:hint="default"/>
      </w:rPr>
    </w:lvl>
    <w:lvl w:ilvl="2" w:tplc="E0862240" w:tentative="1">
      <w:start w:val="1"/>
      <w:numFmt w:val="bullet"/>
      <w:lvlText w:val="•"/>
      <w:lvlJc w:val="left"/>
      <w:pPr>
        <w:tabs>
          <w:tab w:val="num" w:pos="2160"/>
        </w:tabs>
        <w:ind w:left="2160" w:hanging="360"/>
      </w:pPr>
      <w:rPr>
        <w:rFonts w:ascii="Arial" w:hAnsi="Arial" w:hint="default"/>
      </w:rPr>
    </w:lvl>
    <w:lvl w:ilvl="3" w:tplc="31BA05EA" w:tentative="1">
      <w:start w:val="1"/>
      <w:numFmt w:val="bullet"/>
      <w:lvlText w:val="•"/>
      <w:lvlJc w:val="left"/>
      <w:pPr>
        <w:tabs>
          <w:tab w:val="num" w:pos="2880"/>
        </w:tabs>
        <w:ind w:left="2880" w:hanging="360"/>
      </w:pPr>
      <w:rPr>
        <w:rFonts w:ascii="Arial" w:hAnsi="Arial" w:hint="default"/>
      </w:rPr>
    </w:lvl>
    <w:lvl w:ilvl="4" w:tplc="2752CBEE" w:tentative="1">
      <w:start w:val="1"/>
      <w:numFmt w:val="bullet"/>
      <w:lvlText w:val="•"/>
      <w:lvlJc w:val="left"/>
      <w:pPr>
        <w:tabs>
          <w:tab w:val="num" w:pos="3600"/>
        </w:tabs>
        <w:ind w:left="3600" w:hanging="360"/>
      </w:pPr>
      <w:rPr>
        <w:rFonts w:ascii="Arial" w:hAnsi="Arial" w:hint="default"/>
      </w:rPr>
    </w:lvl>
    <w:lvl w:ilvl="5" w:tplc="1AD24C2C" w:tentative="1">
      <w:start w:val="1"/>
      <w:numFmt w:val="bullet"/>
      <w:lvlText w:val="•"/>
      <w:lvlJc w:val="left"/>
      <w:pPr>
        <w:tabs>
          <w:tab w:val="num" w:pos="4320"/>
        </w:tabs>
        <w:ind w:left="4320" w:hanging="360"/>
      </w:pPr>
      <w:rPr>
        <w:rFonts w:ascii="Arial" w:hAnsi="Arial" w:hint="default"/>
      </w:rPr>
    </w:lvl>
    <w:lvl w:ilvl="6" w:tplc="C80AE5A2" w:tentative="1">
      <w:start w:val="1"/>
      <w:numFmt w:val="bullet"/>
      <w:lvlText w:val="•"/>
      <w:lvlJc w:val="left"/>
      <w:pPr>
        <w:tabs>
          <w:tab w:val="num" w:pos="5040"/>
        </w:tabs>
        <w:ind w:left="5040" w:hanging="360"/>
      </w:pPr>
      <w:rPr>
        <w:rFonts w:ascii="Arial" w:hAnsi="Arial" w:hint="default"/>
      </w:rPr>
    </w:lvl>
    <w:lvl w:ilvl="7" w:tplc="0330A56C" w:tentative="1">
      <w:start w:val="1"/>
      <w:numFmt w:val="bullet"/>
      <w:lvlText w:val="•"/>
      <w:lvlJc w:val="left"/>
      <w:pPr>
        <w:tabs>
          <w:tab w:val="num" w:pos="5760"/>
        </w:tabs>
        <w:ind w:left="5760" w:hanging="360"/>
      </w:pPr>
      <w:rPr>
        <w:rFonts w:ascii="Arial" w:hAnsi="Arial" w:hint="default"/>
      </w:rPr>
    </w:lvl>
    <w:lvl w:ilvl="8" w:tplc="B69874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A6912"/>
    <w:multiLevelType w:val="hybridMultilevel"/>
    <w:tmpl w:val="57DE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E1DB9"/>
    <w:multiLevelType w:val="hybridMultilevel"/>
    <w:tmpl w:val="F1A289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96711"/>
    <w:multiLevelType w:val="hybridMultilevel"/>
    <w:tmpl w:val="8E6423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C330B"/>
    <w:multiLevelType w:val="hybridMultilevel"/>
    <w:tmpl w:val="C6A2D74C"/>
    <w:lvl w:ilvl="0" w:tplc="EC9A98F8">
      <w:start w:val="1"/>
      <w:numFmt w:val="bullet"/>
      <w:lvlText w:val=""/>
      <w:lvlJc w:val="left"/>
      <w:pPr>
        <w:ind w:left="1440" w:hanging="360"/>
      </w:pPr>
      <w:rPr>
        <w:rFonts w:ascii="Symbol" w:hAnsi="Symbol" w:hint="default"/>
        <w:b w:val="0"/>
        <w:b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63771F"/>
    <w:multiLevelType w:val="hybridMultilevel"/>
    <w:tmpl w:val="CA56FB1E"/>
    <w:lvl w:ilvl="0" w:tplc="8006F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615210"/>
    <w:multiLevelType w:val="hybridMultilevel"/>
    <w:tmpl w:val="F4060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61103"/>
    <w:multiLevelType w:val="hybridMultilevel"/>
    <w:tmpl w:val="8F148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464AE2"/>
    <w:multiLevelType w:val="hybridMultilevel"/>
    <w:tmpl w:val="E8606E22"/>
    <w:lvl w:ilvl="0" w:tplc="9D52DBC8">
      <w:start w:val="1"/>
      <w:numFmt w:val="bullet"/>
      <w:lvlText w:val="•"/>
      <w:lvlJc w:val="left"/>
      <w:pPr>
        <w:tabs>
          <w:tab w:val="num" w:pos="-2160"/>
        </w:tabs>
        <w:ind w:left="-2160" w:hanging="360"/>
      </w:pPr>
      <w:rPr>
        <w:rFonts w:ascii="Arial" w:hAnsi="Arial" w:hint="default"/>
      </w:rPr>
    </w:lvl>
    <w:lvl w:ilvl="1" w:tplc="47F4BD5E" w:tentative="1">
      <w:start w:val="1"/>
      <w:numFmt w:val="bullet"/>
      <w:lvlText w:val="•"/>
      <w:lvlJc w:val="left"/>
      <w:pPr>
        <w:tabs>
          <w:tab w:val="num" w:pos="-1440"/>
        </w:tabs>
        <w:ind w:left="-1440" w:hanging="360"/>
      </w:pPr>
      <w:rPr>
        <w:rFonts w:ascii="Arial" w:hAnsi="Arial" w:hint="default"/>
      </w:rPr>
    </w:lvl>
    <w:lvl w:ilvl="2" w:tplc="685E3F9E" w:tentative="1">
      <w:start w:val="1"/>
      <w:numFmt w:val="bullet"/>
      <w:lvlText w:val="•"/>
      <w:lvlJc w:val="left"/>
      <w:pPr>
        <w:tabs>
          <w:tab w:val="num" w:pos="-720"/>
        </w:tabs>
        <w:ind w:left="-720" w:hanging="360"/>
      </w:pPr>
      <w:rPr>
        <w:rFonts w:ascii="Arial" w:hAnsi="Arial" w:hint="default"/>
      </w:rPr>
    </w:lvl>
    <w:lvl w:ilvl="3" w:tplc="2430B57A" w:tentative="1">
      <w:start w:val="1"/>
      <w:numFmt w:val="bullet"/>
      <w:lvlText w:val="•"/>
      <w:lvlJc w:val="left"/>
      <w:pPr>
        <w:tabs>
          <w:tab w:val="num" w:pos="0"/>
        </w:tabs>
        <w:ind w:left="0" w:hanging="360"/>
      </w:pPr>
      <w:rPr>
        <w:rFonts w:ascii="Arial" w:hAnsi="Arial" w:hint="default"/>
      </w:rPr>
    </w:lvl>
    <w:lvl w:ilvl="4" w:tplc="8FDEACCC" w:tentative="1">
      <w:start w:val="1"/>
      <w:numFmt w:val="bullet"/>
      <w:lvlText w:val="•"/>
      <w:lvlJc w:val="left"/>
      <w:pPr>
        <w:tabs>
          <w:tab w:val="num" w:pos="720"/>
        </w:tabs>
        <w:ind w:left="720" w:hanging="360"/>
      </w:pPr>
      <w:rPr>
        <w:rFonts w:ascii="Arial" w:hAnsi="Arial" w:hint="default"/>
      </w:rPr>
    </w:lvl>
    <w:lvl w:ilvl="5" w:tplc="A3C686CC" w:tentative="1">
      <w:start w:val="1"/>
      <w:numFmt w:val="bullet"/>
      <w:lvlText w:val="•"/>
      <w:lvlJc w:val="left"/>
      <w:pPr>
        <w:tabs>
          <w:tab w:val="num" w:pos="1440"/>
        </w:tabs>
        <w:ind w:left="1440" w:hanging="360"/>
      </w:pPr>
      <w:rPr>
        <w:rFonts w:ascii="Arial" w:hAnsi="Arial" w:hint="default"/>
      </w:rPr>
    </w:lvl>
    <w:lvl w:ilvl="6" w:tplc="CDF6D1DC" w:tentative="1">
      <w:start w:val="1"/>
      <w:numFmt w:val="bullet"/>
      <w:lvlText w:val="•"/>
      <w:lvlJc w:val="left"/>
      <w:pPr>
        <w:tabs>
          <w:tab w:val="num" w:pos="2160"/>
        </w:tabs>
        <w:ind w:left="2160" w:hanging="360"/>
      </w:pPr>
      <w:rPr>
        <w:rFonts w:ascii="Arial" w:hAnsi="Arial" w:hint="default"/>
      </w:rPr>
    </w:lvl>
    <w:lvl w:ilvl="7" w:tplc="A4E8FF32" w:tentative="1">
      <w:start w:val="1"/>
      <w:numFmt w:val="bullet"/>
      <w:lvlText w:val="•"/>
      <w:lvlJc w:val="left"/>
      <w:pPr>
        <w:tabs>
          <w:tab w:val="num" w:pos="2880"/>
        </w:tabs>
        <w:ind w:left="2880" w:hanging="360"/>
      </w:pPr>
      <w:rPr>
        <w:rFonts w:ascii="Arial" w:hAnsi="Arial" w:hint="default"/>
      </w:rPr>
    </w:lvl>
    <w:lvl w:ilvl="8" w:tplc="E5DA6188" w:tentative="1">
      <w:start w:val="1"/>
      <w:numFmt w:val="bullet"/>
      <w:lvlText w:val="•"/>
      <w:lvlJc w:val="left"/>
      <w:pPr>
        <w:tabs>
          <w:tab w:val="num" w:pos="3600"/>
        </w:tabs>
        <w:ind w:left="3600" w:hanging="360"/>
      </w:pPr>
      <w:rPr>
        <w:rFonts w:ascii="Arial" w:hAnsi="Arial" w:hint="default"/>
      </w:rPr>
    </w:lvl>
  </w:abstractNum>
  <w:abstractNum w:abstractNumId="9" w15:restartNumberingAfterBreak="0">
    <w:nsid w:val="48147596"/>
    <w:multiLevelType w:val="hybridMultilevel"/>
    <w:tmpl w:val="75D26BD8"/>
    <w:lvl w:ilvl="0" w:tplc="DC0EAF12">
      <w:start w:val="1"/>
      <w:numFmt w:val="bullet"/>
      <w:lvlText w:val="•"/>
      <w:lvlJc w:val="left"/>
      <w:pPr>
        <w:tabs>
          <w:tab w:val="num" w:pos="720"/>
        </w:tabs>
        <w:ind w:left="720" w:hanging="360"/>
      </w:pPr>
      <w:rPr>
        <w:rFonts w:ascii="Arial" w:hAnsi="Arial" w:hint="default"/>
      </w:rPr>
    </w:lvl>
    <w:lvl w:ilvl="1" w:tplc="D55CDF94">
      <w:numFmt w:val="bullet"/>
      <w:lvlText w:val="–"/>
      <w:lvlJc w:val="left"/>
      <w:pPr>
        <w:tabs>
          <w:tab w:val="num" w:pos="1440"/>
        </w:tabs>
        <w:ind w:left="1440" w:hanging="360"/>
      </w:pPr>
      <w:rPr>
        <w:rFonts w:ascii="Arial" w:hAnsi="Arial" w:hint="default"/>
      </w:rPr>
    </w:lvl>
    <w:lvl w:ilvl="2" w:tplc="E750A360" w:tentative="1">
      <w:start w:val="1"/>
      <w:numFmt w:val="bullet"/>
      <w:lvlText w:val="•"/>
      <w:lvlJc w:val="left"/>
      <w:pPr>
        <w:tabs>
          <w:tab w:val="num" w:pos="2160"/>
        </w:tabs>
        <w:ind w:left="2160" w:hanging="360"/>
      </w:pPr>
      <w:rPr>
        <w:rFonts w:ascii="Arial" w:hAnsi="Arial" w:hint="default"/>
      </w:rPr>
    </w:lvl>
    <w:lvl w:ilvl="3" w:tplc="45286E5E" w:tentative="1">
      <w:start w:val="1"/>
      <w:numFmt w:val="bullet"/>
      <w:lvlText w:val="•"/>
      <w:lvlJc w:val="left"/>
      <w:pPr>
        <w:tabs>
          <w:tab w:val="num" w:pos="2880"/>
        </w:tabs>
        <w:ind w:left="2880" w:hanging="360"/>
      </w:pPr>
      <w:rPr>
        <w:rFonts w:ascii="Arial" w:hAnsi="Arial" w:hint="default"/>
      </w:rPr>
    </w:lvl>
    <w:lvl w:ilvl="4" w:tplc="680C1ADC" w:tentative="1">
      <w:start w:val="1"/>
      <w:numFmt w:val="bullet"/>
      <w:lvlText w:val="•"/>
      <w:lvlJc w:val="left"/>
      <w:pPr>
        <w:tabs>
          <w:tab w:val="num" w:pos="3600"/>
        </w:tabs>
        <w:ind w:left="3600" w:hanging="360"/>
      </w:pPr>
      <w:rPr>
        <w:rFonts w:ascii="Arial" w:hAnsi="Arial" w:hint="default"/>
      </w:rPr>
    </w:lvl>
    <w:lvl w:ilvl="5" w:tplc="AE82561E" w:tentative="1">
      <w:start w:val="1"/>
      <w:numFmt w:val="bullet"/>
      <w:lvlText w:val="•"/>
      <w:lvlJc w:val="left"/>
      <w:pPr>
        <w:tabs>
          <w:tab w:val="num" w:pos="4320"/>
        </w:tabs>
        <w:ind w:left="4320" w:hanging="360"/>
      </w:pPr>
      <w:rPr>
        <w:rFonts w:ascii="Arial" w:hAnsi="Arial" w:hint="default"/>
      </w:rPr>
    </w:lvl>
    <w:lvl w:ilvl="6" w:tplc="22F8D2AC" w:tentative="1">
      <w:start w:val="1"/>
      <w:numFmt w:val="bullet"/>
      <w:lvlText w:val="•"/>
      <w:lvlJc w:val="left"/>
      <w:pPr>
        <w:tabs>
          <w:tab w:val="num" w:pos="5040"/>
        </w:tabs>
        <w:ind w:left="5040" w:hanging="360"/>
      </w:pPr>
      <w:rPr>
        <w:rFonts w:ascii="Arial" w:hAnsi="Arial" w:hint="default"/>
      </w:rPr>
    </w:lvl>
    <w:lvl w:ilvl="7" w:tplc="C9123B10" w:tentative="1">
      <w:start w:val="1"/>
      <w:numFmt w:val="bullet"/>
      <w:lvlText w:val="•"/>
      <w:lvlJc w:val="left"/>
      <w:pPr>
        <w:tabs>
          <w:tab w:val="num" w:pos="5760"/>
        </w:tabs>
        <w:ind w:left="5760" w:hanging="360"/>
      </w:pPr>
      <w:rPr>
        <w:rFonts w:ascii="Arial" w:hAnsi="Arial" w:hint="default"/>
      </w:rPr>
    </w:lvl>
    <w:lvl w:ilvl="8" w:tplc="21BA67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C321B1"/>
    <w:multiLevelType w:val="hybridMultilevel"/>
    <w:tmpl w:val="9534626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424B1"/>
    <w:multiLevelType w:val="hybridMultilevel"/>
    <w:tmpl w:val="68B8B56A"/>
    <w:lvl w:ilvl="0" w:tplc="9B0A632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CB3FC5"/>
    <w:multiLevelType w:val="hybridMultilevel"/>
    <w:tmpl w:val="3042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3"/>
  </w:num>
  <w:num w:numId="5">
    <w:abstractNumId w:val="1"/>
  </w:num>
  <w:num w:numId="6">
    <w:abstractNumId w:val="2"/>
  </w:num>
  <w:num w:numId="7">
    <w:abstractNumId w:val="12"/>
  </w:num>
  <w:num w:numId="8">
    <w:abstractNumId w:val="7"/>
  </w:num>
  <w:num w:numId="9">
    <w:abstractNumId w:val="5"/>
  </w:num>
  <w:num w:numId="10">
    <w:abstractNumId w:val="10"/>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B5"/>
    <w:rsid w:val="000030E3"/>
    <w:rsid w:val="000E59B5"/>
    <w:rsid w:val="00263F29"/>
    <w:rsid w:val="00314F51"/>
    <w:rsid w:val="00394E06"/>
    <w:rsid w:val="00424AD0"/>
    <w:rsid w:val="00540F4D"/>
    <w:rsid w:val="00593B88"/>
    <w:rsid w:val="00727CFD"/>
    <w:rsid w:val="008639DD"/>
    <w:rsid w:val="00AE46BD"/>
    <w:rsid w:val="00B45717"/>
    <w:rsid w:val="00B70B44"/>
    <w:rsid w:val="00D270B7"/>
    <w:rsid w:val="00E45AF6"/>
    <w:rsid w:val="0A1C4E4A"/>
    <w:rsid w:val="0BB81EAB"/>
    <w:rsid w:val="13AA0833"/>
    <w:rsid w:val="24DDCC74"/>
    <w:rsid w:val="273ACBB9"/>
    <w:rsid w:val="2D6EFBC9"/>
    <w:rsid w:val="2FD784ED"/>
    <w:rsid w:val="36353902"/>
    <w:rsid w:val="37CE02F7"/>
    <w:rsid w:val="4BAFD09A"/>
    <w:rsid w:val="5509CACC"/>
    <w:rsid w:val="57B571B3"/>
    <w:rsid w:val="5DDB2F82"/>
    <w:rsid w:val="61159741"/>
    <w:rsid w:val="74C62094"/>
    <w:rsid w:val="7AEB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60A3"/>
  <w15:chartTrackingRefBased/>
  <w15:docId w15:val="{685465C1-52C8-4D79-A4A1-B3DB110C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0E3"/>
    <w:pPr>
      <w:ind w:left="720"/>
      <w:contextualSpacing/>
    </w:pPr>
  </w:style>
  <w:style w:type="character" w:styleId="Hyperlink">
    <w:name w:val="Hyperlink"/>
    <w:basedOn w:val="DefaultParagraphFont"/>
    <w:uiPriority w:val="99"/>
    <w:semiHidden/>
    <w:unhideWhenUsed/>
    <w:rsid w:val="00424AD0"/>
    <w:rPr>
      <w:color w:val="0563C1"/>
      <w:u w:val="single"/>
    </w:rPr>
  </w:style>
  <w:style w:type="paragraph" w:customStyle="1" w:styleId="xmsonormal">
    <w:name w:val="x_msonormal"/>
    <w:basedOn w:val="Normal"/>
    <w:rsid w:val="00424AD0"/>
    <w:pPr>
      <w:spacing w:after="0" w:line="240" w:lineRule="auto"/>
    </w:pPr>
    <w:rPr>
      <w:rFonts w:ascii="Calibri" w:hAnsi="Calibri" w:cs="Calibri"/>
    </w:rPr>
  </w:style>
  <w:style w:type="paragraph" w:customStyle="1" w:styleId="xxmsonormal">
    <w:name w:val="x_xmsonormal"/>
    <w:basedOn w:val="Normal"/>
    <w:rsid w:val="00424AD0"/>
    <w:pPr>
      <w:spacing w:after="0" w:line="240" w:lineRule="auto"/>
    </w:pPr>
    <w:rPr>
      <w:rFonts w:ascii="Calibri" w:hAnsi="Calibri" w:cs="Calibri"/>
    </w:rPr>
  </w:style>
  <w:style w:type="paragraph" w:styleId="NoSpacing">
    <w:name w:val="No Spacing"/>
    <w:uiPriority w:val="1"/>
    <w:qFormat/>
    <w:rsid w:val="00E45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87837">
      <w:bodyDiv w:val="1"/>
      <w:marLeft w:val="0"/>
      <w:marRight w:val="0"/>
      <w:marTop w:val="0"/>
      <w:marBottom w:val="0"/>
      <w:divBdr>
        <w:top w:val="none" w:sz="0" w:space="0" w:color="auto"/>
        <w:left w:val="none" w:sz="0" w:space="0" w:color="auto"/>
        <w:bottom w:val="none" w:sz="0" w:space="0" w:color="auto"/>
        <w:right w:val="none" w:sz="0" w:space="0" w:color="auto"/>
      </w:divBdr>
      <w:divsChild>
        <w:div w:id="505680809">
          <w:marLeft w:val="547"/>
          <w:marRight w:val="0"/>
          <w:marTop w:val="134"/>
          <w:marBottom w:val="0"/>
          <w:divBdr>
            <w:top w:val="none" w:sz="0" w:space="0" w:color="auto"/>
            <w:left w:val="none" w:sz="0" w:space="0" w:color="auto"/>
            <w:bottom w:val="none" w:sz="0" w:space="0" w:color="auto"/>
            <w:right w:val="none" w:sz="0" w:space="0" w:color="auto"/>
          </w:divBdr>
        </w:div>
        <w:div w:id="2015496114">
          <w:marLeft w:val="547"/>
          <w:marRight w:val="0"/>
          <w:marTop w:val="134"/>
          <w:marBottom w:val="0"/>
          <w:divBdr>
            <w:top w:val="none" w:sz="0" w:space="0" w:color="auto"/>
            <w:left w:val="none" w:sz="0" w:space="0" w:color="auto"/>
            <w:bottom w:val="none" w:sz="0" w:space="0" w:color="auto"/>
            <w:right w:val="none" w:sz="0" w:space="0" w:color="auto"/>
          </w:divBdr>
        </w:div>
        <w:div w:id="1103263378">
          <w:marLeft w:val="547"/>
          <w:marRight w:val="0"/>
          <w:marTop w:val="134"/>
          <w:marBottom w:val="0"/>
          <w:divBdr>
            <w:top w:val="none" w:sz="0" w:space="0" w:color="auto"/>
            <w:left w:val="none" w:sz="0" w:space="0" w:color="auto"/>
            <w:bottom w:val="none" w:sz="0" w:space="0" w:color="auto"/>
            <w:right w:val="none" w:sz="0" w:space="0" w:color="auto"/>
          </w:divBdr>
        </w:div>
        <w:div w:id="1313173787">
          <w:marLeft w:val="547"/>
          <w:marRight w:val="0"/>
          <w:marTop w:val="134"/>
          <w:marBottom w:val="0"/>
          <w:divBdr>
            <w:top w:val="none" w:sz="0" w:space="0" w:color="auto"/>
            <w:left w:val="none" w:sz="0" w:space="0" w:color="auto"/>
            <w:bottom w:val="none" w:sz="0" w:space="0" w:color="auto"/>
            <w:right w:val="none" w:sz="0" w:space="0" w:color="auto"/>
          </w:divBdr>
        </w:div>
        <w:div w:id="613441369">
          <w:marLeft w:val="547"/>
          <w:marRight w:val="0"/>
          <w:marTop w:val="134"/>
          <w:marBottom w:val="0"/>
          <w:divBdr>
            <w:top w:val="none" w:sz="0" w:space="0" w:color="auto"/>
            <w:left w:val="none" w:sz="0" w:space="0" w:color="auto"/>
            <w:bottom w:val="none" w:sz="0" w:space="0" w:color="auto"/>
            <w:right w:val="none" w:sz="0" w:space="0" w:color="auto"/>
          </w:divBdr>
        </w:div>
      </w:divsChild>
    </w:div>
    <w:div w:id="318769439">
      <w:bodyDiv w:val="1"/>
      <w:marLeft w:val="0"/>
      <w:marRight w:val="0"/>
      <w:marTop w:val="0"/>
      <w:marBottom w:val="0"/>
      <w:divBdr>
        <w:top w:val="none" w:sz="0" w:space="0" w:color="auto"/>
        <w:left w:val="none" w:sz="0" w:space="0" w:color="auto"/>
        <w:bottom w:val="none" w:sz="0" w:space="0" w:color="auto"/>
        <w:right w:val="none" w:sz="0" w:space="0" w:color="auto"/>
      </w:divBdr>
    </w:div>
    <w:div w:id="547231023">
      <w:bodyDiv w:val="1"/>
      <w:marLeft w:val="0"/>
      <w:marRight w:val="0"/>
      <w:marTop w:val="0"/>
      <w:marBottom w:val="0"/>
      <w:divBdr>
        <w:top w:val="none" w:sz="0" w:space="0" w:color="auto"/>
        <w:left w:val="none" w:sz="0" w:space="0" w:color="auto"/>
        <w:bottom w:val="none" w:sz="0" w:space="0" w:color="auto"/>
        <w:right w:val="none" w:sz="0" w:space="0" w:color="auto"/>
      </w:divBdr>
    </w:div>
    <w:div w:id="667636021">
      <w:bodyDiv w:val="1"/>
      <w:marLeft w:val="0"/>
      <w:marRight w:val="0"/>
      <w:marTop w:val="0"/>
      <w:marBottom w:val="0"/>
      <w:divBdr>
        <w:top w:val="none" w:sz="0" w:space="0" w:color="auto"/>
        <w:left w:val="none" w:sz="0" w:space="0" w:color="auto"/>
        <w:bottom w:val="none" w:sz="0" w:space="0" w:color="auto"/>
        <w:right w:val="none" w:sz="0" w:space="0" w:color="auto"/>
      </w:divBdr>
      <w:divsChild>
        <w:div w:id="190728267">
          <w:marLeft w:val="547"/>
          <w:marRight w:val="0"/>
          <w:marTop w:val="125"/>
          <w:marBottom w:val="0"/>
          <w:divBdr>
            <w:top w:val="none" w:sz="0" w:space="0" w:color="auto"/>
            <w:left w:val="none" w:sz="0" w:space="0" w:color="auto"/>
            <w:bottom w:val="none" w:sz="0" w:space="0" w:color="auto"/>
            <w:right w:val="none" w:sz="0" w:space="0" w:color="auto"/>
          </w:divBdr>
        </w:div>
        <w:div w:id="742682356">
          <w:marLeft w:val="547"/>
          <w:marRight w:val="0"/>
          <w:marTop w:val="125"/>
          <w:marBottom w:val="0"/>
          <w:divBdr>
            <w:top w:val="none" w:sz="0" w:space="0" w:color="auto"/>
            <w:left w:val="none" w:sz="0" w:space="0" w:color="auto"/>
            <w:bottom w:val="none" w:sz="0" w:space="0" w:color="auto"/>
            <w:right w:val="none" w:sz="0" w:space="0" w:color="auto"/>
          </w:divBdr>
        </w:div>
        <w:div w:id="9332891">
          <w:marLeft w:val="1166"/>
          <w:marRight w:val="0"/>
          <w:marTop w:val="96"/>
          <w:marBottom w:val="0"/>
          <w:divBdr>
            <w:top w:val="none" w:sz="0" w:space="0" w:color="auto"/>
            <w:left w:val="none" w:sz="0" w:space="0" w:color="auto"/>
            <w:bottom w:val="none" w:sz="0" w:space="0" w:color="auto"/>
            <w:right w:val="none" w:sz="0" w:space="0" w:color="auto"/>
          </w:divBdr>
        </w:div>
        <w:div w:id="2014452686">
          <w:marLeft w:val="1166"/>
          <w:marRight w:val="0"/>
          <w:marTop w:val="96"/>
          <w:marBottom w:val="0"/>
          <w:divBdr>
            <w:top w:val="none" w:sz="0" w:space="0" w:color="auto"/>
            <w:left w:val="none" w:sz="0" w:space="0" w:color="auto"/>
            <w:bottom w:val="none" w:sz="0" w:space="0" w:color="auto"/>
            <w:right w:val="none" w:sz="0" w:space="0" w:color="auto"/>
          </w:divBdr>
        </w:div>
        <w:div w:id="2023126703">
          <w:marLeft w:val="1166"/>
          <w:marRight w:val="0"/>
          <w:marTop w:val="96"/>
          <w:marBottom w:val="0"/>
          <w:divBdr>
            <w:top w:val="none" w:sz="0" w:space="0" w:color="auto"/>
            <w:left w:val="none" w:sz="0" w:space="0" w:color="auto"/>
            <w:bottom w:val="none" w:sz="0" w:space="0" w:color="auto"/>
            <w:right w:val="none" w:sz="0" w:space="0" w:color="auto"/>
          </w:divBdr>
        </w:div>
        <w:div w:id="1075544010">
          <w:marLeft w:val="1166"/>
          <w:marRight w:val="0"/>
          <w:marTop w:val="96"/>
          <w:marBottom w:val="0"/>
          <w:divBdr>
            <w:top w:val="none" w:sz="0" w:space="0" w:color="auto"/>
            <w:left w:val="none" w:sz="0" w:space="0" w:color="auto"/>
            <w:bottom w:val="none" w:sz="0" w:space="0" w:color="auto"/>
            <w:right w:val="none" w:sz="0" w:space="0" w:color="auto"/>
          </w:divBdr>
        </w:div>
        <w:div w:id="621694816">
          <w:marLeft w:val="1166"/>
          <w:marRight w:val="0"/>
          <w:marTop w:val="96"/>
          <w:marBottom w:val="0"/>
          <w:divBdr>
            <w:top w:val="none" w:sz="0" w:space="0" w:color="auto"/>
            <w:left w:val="none" w:sz="0" w:space="0" w:color="auto"/>
            <w:bottom w:val="none" w:sz="0" w:space="0" w:color="auto"/>
            <w:right w:val="none" w:sz="0" w:space="0" w:color="auto"/>
          </w:divBdr>
        </w:div>
        <w:div w:id="1425764514">
          <w:marLeft w:val="1166"/>
          <w:marRight w:val="0"/>
          <w:marTop w:val="96"/>
          <w:marBottom w:val="0"/>
          <w:divBdr>
            <w:top w:val="none" w:sz="0" w:space="0" w:color="auto"/>
            <w:left w:val="none" w:sz="0" w:space="0" w:color="auto"/>
            <w:bottom w:val="none" w:sz="0" w:space="0" w:color="auto"/>
            <w:right w:val="none" w:sz="0" w:space="0" w:color="auto"/>
          </w:divBdr>
        </w:div>
        <w:div w:id="829105609">
          <w:marLeft w:val="1166"/>
          <w:marRight w:val="0"/>
          <w:marTop w:val="96"/>
          <w:marBottom w:val="0"/>
          <w:divBdr>
            <w:top w:val="none" w:sz="0" w:space="0" w:color="auto"/>
            <w:left w:val="none" w:sz="0" w:space="0" w:color="auto"/>
            <w:bottom w:val="none" w:sz="0" w:space="0" w:color="auto"/>
            <w:right w:val="none" w:sz="0" w:space="0" w:color="auto"/>
          </w:divBdr>
        </w:div>
        <w:div w:id="545145278">
          <w:marLeft w:val="1166"/>
          <w:marRight w:val="0"/>
          <w:marTop w:val="96"/>
          <w:marBottom w:val="0"/>
          <w:divBdr>
            <w:top w:val="none" w:sz="0" w:space="0" w:color="auto"/>
            <w:left w:val="none" w:sz="0" w:space="0" w:color="auto"/>
            <w:bottom w:val="none" w:sz="0" w:space="0" w:color="auto"/>
            <w:right w:val="none" w:sz="0" w:space="0" w:color="auto"/>
          </w:divBdr>
        </w:div>
        <w:div w:id="1689402894">
          <w:marLeft w:val="1166"/>
          <w:marRight w:val="0"/>
          <w:marTop w:val="96"/>
          <w:marBottom w:val="0"/>
          <w:divBdr>
            <w:top w:val="none" w:sz="0" w:space="0" w:color="auto"/>
            <w:left w:val="none" w:sz="0" w:space="0" w:color="auto"/>
            <w:bottom w:val="none" w:sz="0" w:space="0" w:color="auto"/>
            <w:right w:val="none" w:sz="0" w:space="0" w:color="auto"/>
          </w:divBdr>
        </w:div>
        <w:div w:id="789979866">
          <w:marLeft w:val="1166"/>
          <w:marRight w:val="0"/>
          <w:marTop w:val="96"/>
          <w:marBottom w:val="0"/>
          <w:divBdr>
            <w:top w:val="none" w:sz="0" w:space="0" w:color="auto"/>
            <w:left w:val="none" w:sz="0" w:space="0" w:color="auto"/>
            <w:bottom w:val="none" w:sz="0" w:space="0" w:color="auto"/>
            <w:right w:val="none" w:sz="0" w:space="0" w:color="auto"/>
          </w:divBdr>
        </w:div>
        <w:div w:id="1226379335">
          <w:marLeft w:val="1166"/>
          <w:marRight w:val="0"/>
          <w:marTop w:val="96"/>
          <w:marBottom w:val="0"/>
          <w:divBdr>
            <w:top w:val="none" w:sz="0" w:space="0" w:color="auto"/>
            <w:left w:val="none" w:sz="0" w:space="0" w:color="auto"/>
            <w:bottom w:val="none" w:sz="0" w:space="0" w:color="auto"/>
            <w:right w:val="none" w:sz="0" w:space="0" w:color="auto"/>
          </w:divBdr>
        </w:div>
        <w:div w:id="55659738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1575</Words>
  <Characters>8980</Characters>
  <Application>Microsoft Office Word</Application>
  <DocSecurity>4</DocSecurity>
  <Lines>74</Lines>
  <Paragraphs>21</Paragraphs>
  <ScaleCrop>false</ScaleCrop>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Jason</dc:creator>
  <cp:keywords/>
  <dc:description/>
  <cp:lastModifiedBy>Clark, Ashley</cp:lastModifiedBy>
  <cp:revision>2</cp:revision>
  <dcterms:created xsi:type="dcterms:W3CDTF">2023-01-06T19:55:00Z</dcterms:created>
  <dcterms:modified xsi:type="dcterms:W3CDTF">2023-01-06T19:55:00Z</dcterms:modified>
</cp:coreProperties>
</file>